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4"/>
        <w:gridCol w:w="183"/>
        <w:gridCol w:w="81"/>
        <w:gridCol w:w="21"/>
        <w:gridCol w:w="27"/>
        <w:gridCol w:w="20"/>
        <w:gridCol w:w="29"/>
        <w:gridCol w:w="7"/>
        <w:gridCol w:w="14"/>
        <w:gridCol w:w="163"/>
        <w:gridCol w:w="212"/>
        <w:gridCol w:w="283"/>
        <w:gridCol w:w="142"/>
        <w:gridCol w:w="13"/>
        <w:gridCol w:w="1841"/>
        <w:gridCol w:w="697"/>
        <w:gridCol w:w="6238"/>
        <w:gridCol w:w="48"/>
        <w:gridCol w:w="21"/>
        <w:gridCol w:w="24"/>
        <w:gridCol w:w="284"/>
        <w:gridCol w:w="35"/>
        <w:gridCol w:w="48"/>
        <w:gridCol w:w="1445"/>
      </w:tblGrid>
      <w:tr w:rsidR="001F5E28" w14:paraId="60CCD8FB" w14:textId="77777777" w:rsidTr="00153BA7">
        <w:trPr>
          <w:trHeight w:hRule="exact" w:val="344"/>
        </w:trPr>
        <w:tc>
          <w:tcPr>
            <w:tcW w:w="11970" w:type="dxa"/>
            <w:gridSpan w:val="25"/>
          </w:tcPr>
          <w:p w14:paraId="1CB82E17" w14:textId="77777777" w:rsidR="001F5E28" w:rsidRDefault="001F5E28" w:rsidP="008F1E55"/>
        </w:tc>
      </w:tr>
      <w:tr w:rsidR="001F5E28" w:rsidRPr="009957FF" w14:paraId="75468291" w14:textId="77777777" w:rsidTr="00153BA7">
        <w:trPr>
          <w:trHeight w:hRule="exact" w:val="100"/>
        </w:trPr>
        <w:tc>
          <w:tcPr>
            <w:tcW w:w="94" w:type="dxa"/>
            <w:gridSpan w:val="2"/>
          </w:tcPr>
          <w:p w14:paraId="2DAD10F7" w14:textId="77777777" w:rsidR="001F5E28" w:rsidRDefault="001F5E28" w:rsidP="008F1E55"/>
        </w:tc>
        <w:tc>
          <w:tcPr>
            <w:tcW w:w="3036" w:type="dxa"/>
            <w:gridSpan w:val="14"/>
            <w:vMerge w:val="restart"/>
          </w:tcPr>
          <w:p w14:paraId="6370B044" w14:textId="77777777" w:rsidR="001F5E28" w:rsidRPr="009957FF" w:rsidRDefault="001D1A6A" w:rsidP="008F1E55">
            <w:pPr>
              <w:jc w:val="center"/>
            </w:pPr>
            <w:r w:rsidRPr="009957FF">
              <w:rPr>
                <w:noProof/>
              </w:rPr>
              <w:drawing>
                <wp:inline distT="0" distB="0" distL="0" distR="0" wp14:anchorId="62C58FBF" wp14:editId="502879A3">
                  <wp:extent cx="1495425" cy="1276350"/>
                  <wp:effectExtent l="0" t="0" r="9525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272" cy="128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0" w:type="dxa"/>
            <w:gridSpan w:val="9"/>
          </w:tcPr>
          <w:p w14:paraId="7527070D" w14:textId="77777777" w:rsidR="001F5E28" w:rsidRPr="009957FF" w:rsidRDefault="001F5E28" w:rsidP="008F1E55"/>
        </w:tc>
      </w:tr>
      <w:tr w:rsidR="001F5E28" w:rsidRPr="009957FF" w14:paraId="4C34883E" w14:textId="77777777" w:rsidTr="00153BA7">
        <w:trPr>
          <w:trHeight w:hRule="exact" w:val="745"/>
        </w:trPr>
        <w:tc>
          <w:tcPr>
            <w:tcW w:w="94" w:type="dxa"/>
            <w:gridSpan w:val="2"/>
          </w:tcPr>
          <w:p w14:paraId="2D0BF6D4" w14:textId="77777777" w:rsidR="001F5E28" w:rsidRPr="009957FF" w:rsidRDefault="001F5E28" w:rsidP="008F1E55"/>
        </w:tc>
        <w:tc>
          <w:tcPr>
            <w:tcW w:w="3036" w:type="dxa"/>
            <w:gridSpan w:val="14"/>
            <w:vMerge/>
          </w:tcPr>
          <w:p w14:paraId="3F08EA1F" w14:textId="77777777" w:rsidR="001F5E28" w:rsidRPr="009957FF" w:rsidRDefault="001F5E28" w:rsidP="008F1E55"/>
        </w:tc>
        <w:tc>
          <w:tcPr>
            <w:tcW w:w="697" w:type="dxa"/>
          </w:tcPr>
          <w:p w14:paraId="540A8F90" w14:textId="77777777" w:rsidR="001F5E28" w:rsidRPr="009957FF" w:rsidRDefault="001F5E28" w:rsidP="008F1E55"/>
        </w:tc>
        <w:tc>
          <w:tcPr>
            <w:tcW w:w="6307" w:type="dxa"/>
            <w:gridSpan w:val="3"/>
            <w:vMerge w:val="restart"/>
            <w:shd w:val="clear" w:color="auto" w:fill="auto"/>
            <w:vAlign w:val="center"/>
          </w:tcPr>
          <w:p w14:paraId="34325B29" w14:textId="77777777" w:rsidR="001F5E28" w:rsidRPr="009957FF" w:rsidRDefault="00136718" w:rsidP="008F1E55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 xml:space="preserve">Учебный центр </w:t>
            </w:r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  <w:proofErr w:type="spellStart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Зерде</w:t>
            </w:r>
            <w:proofErr w:type="spellEnd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</w:p>
        </w:tc>
        <w:tc>
          <w:tcPr>
            <w:tcW w:w="1836" w:type="dxa"/>
            <w:gridSpan w:val="5"/>
          </w:tcPr>
          <w:p w14:paraId="0ADFF130" w14:textId="77777777" w:rsidR="001F5E28" w:rsidRPr="009957FF" w:rsidRDefault="001F5E28" w:rsidP="008F1E55"/>
        </w:tc>
      </w:tr>
      <w:tr w:rsidR="001F5E28" w:rsidRPr="009957FF" w14:paraId="263CD5FF" w14:textId="77777777" w:rsidTr="00153BA7">
        <w:trPr>
          <w:trHeight w:hRule="exact" w:val="731"/>
        </w:trPr>
        <w:tc>
          <w:tcPr>
            <w:tcW w:w="94" w:type="dxa"/>
            <w:gridSpan w:val="2"/>
          </w:tcPr>
          <w:p w14:paraId="165B8925" w14:textId="77777777" w:rsidR="001F5E28" w:rsidRPr="009957FF" w:rsidRDefault="001F5E28" w:rsidP="008F1E55"/>
        </w:tc>
        <w:tc>
          <w:tcPr>
            <w:tcW w:w="3036" w:type="dxa"/>
            <w:gridSpan w:val="14"/>
            <w:vMerge/>
          </w:tcPr>
          <w:p w14:paraId="50A90304" w14:textId="77777777" w:rsidR="001F5E28" w:rsidRPr="009957FF" w:rsidRDefault="001F5E28" w:rsidP="008F1E55"/>
        </w:tc>
        <w:tc>
          <w:tcPr>
            <w:tcW w:w="697" w:type="dxa"/>
          </w:tcPr>
          <w:p w14:paraId="7EE5A197" w14:textId="77777777" w:rsidR="001F5E28" w:rsidRPr="009957FF" w:rsidRDefault="001F5E28" w:rsidP="008F1E55"/>
        </w:tc>
        <w:tc>
          <w:tcPr>
            <w:tcW w:w="6307" w:type="dxa"/>
            <w:gridSpan w:val="3"/>
            <w:vMerge/>
            <w:shd w:val="clear" w:color="auto" w:fill="auto"/>
            <w:vAlign w:val="center"/>
          </w:tcPr>
          <w:p w14:paraId="4A7528B3" w14:textId="77777777" w:rsidR="001F5E28" w:rsidRPr="009957FF" w:rsidRDefault="001F5E28" w:rsidP="008F1E55"/>
        </w:tc>
        <w:tc>
          <w:tcPr>
            <w:tcW w:w="1836" w:type="dxa"/>
            <w:gridSpan w:val="5"/>
          </w:tcPr>
          <w:p w14:paraId="0BA724D6" w14:textId="77777777" w:rsidR="001F5E28" w:rsidRPr="009957FF" w:rsidRDefault="001F5E28" w:rsidP="008F1E55"/>
        </w:tc>
      </w:tr>
      <w:tr w:rsidR="001F5E28" w:rsidRPr="009957FF" w14:paraId="396300A0" w14:textId="77777777" w:rsidTr="00153BA7">
        <w:trPr>
          <w:trHeight w:hRule="exact" w:val="673"/>
        </w:trPr>
        <w:tc>
          <w:tcPr>
            <w:tcW w:w="94" w:type="dxa"/>
            <w:gridSpan w:val="2"/>
          </w:tcPr>
          <w:p w14:paraId="06EA7095" w14:textId="77777777" w:rsidR="001F5E28" w:rsidRPr="009957FF" w:rsidRDefault="001F5E28" w:rsidP="008F1E55"/>
        </w:tc>
        <w:tc>
          <w:tcPr>
            <w:tcW w:w="3036" w:type="dxa"/>
            <w:gridSpan w:val="14"/>
            <w:vMerge/>
          </w:tcPr>
          <w:p w14:paraId="6AEDA88B" w14:textId="77777777" w:rsidR="001F5E28" w:rsidRPr="009957FF" w:rsidRDefault="001F5E28" w:rsidP="008F1E55"/>
        </w:tc>
        <w:tc>
          <w:tcPr>
            <w:tcW w:w="8840" w:type="dxa"/>
            <w:gridSpan w:val="9"/>
          </w:tcPr>
          <w:p w14:paraId="3A67C0FA" w14:textId="77777777" w:rsidR="001F5E28" w:rsidRPr="009957FF" w:rsidRDefault="001F5E28" w:rsidP="008F1E55"/>
        </w:tc>
      </w:tr>
      <w:tr w:rsidR="001F5E28" w:rsidRPr="009957FF" w14:paraId="1423E1F7" w14:textId="77777777" w:rsidTr="00153BA7">
        <w:trPr>
          <w:trHeight w:hRule="exact" w:val="1362"/>
        </w:trPr>
        <w:tc>
          <w:tcPr>
            <w:tcW w:w="11970" w:type="dxa"/>
            <w:gridSpan w:val="25"/>
          </w:tcPr>
          <w:p w14:paraId="261BD0BE" w14:textId="77777777" w:rsidR="001F5E28" w:rsidRPr="009957FF" w:rsidRDefault="001F5E28" w:rsidP="008F1E55"/>
        </w:tc>
      </w:tr>
      <w:tr w:rsidR="001F5E28" w:rsidRPr="009957FF" w14:paraId="0D14DEB5" w14:textId="77777777" w:rsidTr="00153BA7">
        <w:trPr>
          <w:trHeight w:hRule="exact" w:val="1346"/>
        </w:trPr>
        <w:tc>
          <w:tcPr>
            <w:tcW w:w="11970" w:type="dxa"/>
            <w:gridSpan w:val="25"/>
          </w:tcPr>
          <w:p w14:paraId="3FA08B82" w14:textId="77777777" w:rsidR="001F5E28" w:rsidRPr="009957FF" w:rsidRDefault="001F5E28" w:rsidP="008F1E55"/>
        </w:tc>
      </w:tr>
      <w:tr w:rsidR="001F5E28" w:rsidRPr="009957FF" w14:paraId="50EE4B59" w14:textId="77777777" w:rsidTr="00153BA7">
        <w:trPr>
          <w:trHeight w:hRule="exact" w:val="1075"/>
        </w:trPr>
        <w:tc>
          <w:tcPr>
            <w:tcW w:w="277" w:type="dxa"/>
            <w:gridSpan w:val="3"/>
          </w:tcPr>
          <w:p w14:paraId="74B08F7B" w14:textId="77777777" w:rsidR="001F5E28" w:rsidRPr="009957FF" w:rsidRDefault="001F5E28" w:rsidP="008F1E55"/>
        </w:tc>
        <w:tc>
          <w:tcPr>
            <w:tcW w:w="9788" w:type="dxa"/>
            <w:gridSpan w:val="15"/>
            <w:vMerge w:val="restart"/>
            <w:shd w:val="clear" w:color="auto" w:fill="auto"/>
          </w:tcPr>
          <w:p w14:paraId="347D57B2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 xml:space="preserve">Экзаменационный </w:t>
            </w:r>
          </w:p>
          <w:p w14:paraId="479A24CD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>билет</w:t>
            </w:r>
          </w:p>
        </w:tc>
        <w:tc>
          <w:tcPr>
            <w:tcW w:w="1905" w:type="dxa"/>
            <w:gridSpan w:val="7"/>
          </w:tcPr>
          <w:p w14:paraId="7F829DD7" w14:textId="77777777" w:rsidR="001F5E28" w:rsidRPr="009957FF" w:rsidRDefault="001F5E28" w:rsidP="008F1E55"/>
        </w:tc>
      </w:tr>
      <w:tr w:rsidR="001F5E28" w:rsidRPr="009957FF" w14:paraId="43FB74D8" w14:textId="77777777" w:rsidTr="00153BA7">
        <w:trPr>
          <w:trHeight w:hRule="exact" w:val="1075"/>
        </w:trPr>
        <w:tc>
          <w:tcPr>
            <w:tcW w:w="277" w:type="dxa"/>
            <w:gridSpan w:val="3"/>
          </w:tcPr>
          <w:p w14:paraId="60CD741D" w14:textId="77777777" w:rsidR="001F5E28" w:rsidRPr="009957FF" w:rsidRDefault="001F5E28" w:rsidP="008F1E55"/>
        </w:tc>
        <w:tc>
          <w:tcPr>
            <w:tcW w:w="9788" w:type="dxa"/>
            <w:gridSpan w:val="15"/>
            <w:vMerge/>
            <w:shd w:val="clear" w:color="auto" w:fill="auto"/>
          </w:tcPr>
          <w:p w14:paraId="44EC741F" w14:textId="77777777" w:rsidR="001F5E28" w:rsidRPr="009957FF" w:rsidRDefault="001F5E28" w:rsidP="008F1E55"/>
        </w:tc>
        <w:tc>
          <w:tcPr>
            <w:tcW w:w="1905" w:type="dxa"/>
            <w:gridSpan w:val="7"/>
          </w:tcPr>
          <w:p w14:paraId="3E2F9F34" w14:textId="77777777" w:rsidR="001F5E28" w:rsidRPr="009957FF" w:rsidRDefault="001F5E28" w:rsidP="008F1E55"/>
        </w:tc>
      </w:tr>
      <w:tr w:rsidR="001F5E28" w:rsidRPr="009957FF" w14:paraId="2C2374F1" w14:textId="77777777" w:rsidTr="00153BA7">
        <w:trPr>
          <w:trHeight w:hRule="exact" w:val="902"/>
        </w:trPr>
        <w:tc>
          <w:tcPr>
            <w:tcW w:w="277" w:type="dxa"/>
            <w:gridSpan w:val="3"/>
          </w:tcPr>
          <w:p w14:paraId="20BE4BFA" w14:textId="77777777" w:rsidR="001F5E28" w:rsidRPr="009957FF" w:rsidRDefault="001F5E28" w:rsidP="008F1E55"/>
        </w:tc>
        <w:tc>
          <w:tcPr>
            <w:tcW w:w="9788" w:type="dxa"/>
            <w:gridSpan w:val="15"/>
            <w:vMerge w:val="restart"/>
            <w:shd w:val="clear" w:color="auto" w:fill="auto"/>
            <w:vAlign w:val="center"/>
          </w:tcPr>
          <w:p w14:paraId="3F757091" w14:textId="77777777" w:rsidR="001F5E28" w:rsidRPr="002F72D1" w:rsidRDefault="002F72D1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>Финансовый учет и отчетность по международным стандартам финансовой отчетности</w:t>
            </w:r>
            <w:r w:rsidR="001D1A6A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 xml:space="preserve"> </w:t>
            </w:r>
          </w:p>
        </w:tc>
        <w:tc>
          <w:tcPr>
            <w:tcW w:w="1905" w:type="dxa"/>
            <w:gridSpan w:val="7"/>
          </w:tcPr>
          <w:p w14:paraId="176C2DBD" w14:textId="77777777" w:rsidR="001F5E28" w:rsidRPr="009957FF" w:rsidRDefault="001F5E28" w:rsidP="008F1E55"/>
        </w:tc>
      </w:tr>
      <w:tr w:rsidR="001F5E28" w:rsidRPr="009957FF" w14:paraId="2B30DFA7" w14:textId="77777777" w:rsidTr="00153BA7">
        <w:trPr>
          <w:trHeight w:hRule="exact" w:val="903"/>
        </w:trPr>
        <w:tc>
          <w:tcPr>
            <w:tcW w:w="277" w:type="dxa"/>
            <w:gridSpan w:val="3"/>
          </w:tcPr>
          <w:p w14:paraId="674A0DC0" w14:textId="77777777" w:rsidR="001F5E28" w:rsidRPr="009957FF" w:rsidRDefault="001F5E28" w:rsidP="008F1E55"/>
        </w:tc>
        <w:tc>
          <w:tcPr>
            <w:tcW w:w="9788" w:type="dxa"/>
            <w:gridSpan w:val="15"/>
            <w:vMerge/>
            <w:shd w:val="clear" w:color="auto" w:fill="auto"/>
            <w:vAlign w:val="center"/>
          </w:tcPr>
          <w:p w14:paraId="1EFE748A" w14:textId="77777777" w:rsidR="001F5E28" w:rsidRPr="009957FF" w:rsidRDefault="001F5E28" w:rsidP="008F1E55"/>
        </w:tc>
        <w:tc>
          <w:tcPr>
            <w:tcW w:w="1905" w:type="dxa"/>
            <w:gridSpan w:val="7"/>
          </w:tcPr>
          <w:p w14:paraId="22C99A4A" w14:textId="77777777" w:rsidR="001F5E28" w:rsidRPr="009957FF" w:rsidRDefault="001F5E28" w:rsidP="008F1E55"/>
        </w:tc>
      </w:tr>
      <w:tr w:rsidR="001F5E28" w:rsidRPr="009957FF" w14:paraId="0A5358AF" w14:textId="77777777" w:rsidTr="00153BA7">
        <w:trPr>
          <w:trHeight w:hRule="exact" w:val="1117"/>
        </w:trPr>
        <w:tc>
          <w:tcPr>
            <w:tcW w:w="277" w:type="dxa"/>
            <w:gridSpan w:val="3"/>
          </w:tcPr>
          <w:p w14:paraId="0D00CA2F" w14:textId="77777777" w:rsidR="001F5E28" w:rsidRPr="009957FF" w:rsidRDefault="001F5E28" w:rsidP="008F1E55"/>
        </w:tc>
        <w:tc>
          <w:tcPr>
            <w:tcW w:w="9788" w:type="dxa"/>
            <w:gridSpan w:val="15"/>
            <w:shd w:val="clear" w:color="auto" w:fill="auto"/>
            <w:vAlign w:val="center"/>
          </w:tcPr>
          <w:p w14:paraId="72592F9C" w14:textId="0BC8579A" w:rsidR="001F5E28" w:rsidRPr="002F72D1" w:rsidRDefault="001F5E28" w:rsidP="00F4180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44"/>
              </w:rPr>
            </w:pPr>
          </w:p>
        </w:tc>
        <w:tc>
          <w:tcPr>
            <w:tcW w:w="1905" w:type="dxa"/>
            <w:gridSpan w:val="7"/>
          </w:tcPr>
          <w:p w14:paraId="628458E6" w14:textId="77777777" w:rsidR="001F5E28" w:rsidRPr="009957FF" w:rsidRDefault="001F5E28" w:rsidP="008F1E55"/>
        </w:tc>
      </w:tr>
      <w:tr w:rsidR="001F5E28" w:rsidRPr="009957FF" w14:paraId="09E01FE0" w14:textId="77777777" w:rsidTr="00153BA7">
        <w:trPr>
          <w:trHeight w:hRule="exact" w:val="574"/>
        </w:trPr>
        <w:tc>
          <w:tcPr>
            <w:tcW w:w="11970" w:type="dxa"/>
            <w:gridSpan w:val="25"/>
          </w:tcPr>
          <w:p w14:paraId="3A7DDEFB" w14:textId="77777777" w:rsidR="001F5E28" w:rsidRPr="009957FF" w:rsidRDefault="001F5E28" w:rsidP="008F1E55"/>
        </w:tc>
      </w:tr>
      <w:tr w:rsidR="001F5E28" w:rsidRPr="009957FF" w14:paraId="0B9C427E" w14:textId="77777777" w:rsidTr="00153BA7">
        <w:trPr>
          <w:trHeight w:hRule="exact" w:val="1017"/>
        </w:trPr>
        <w:tc>
          <w:tcPr>
            <w:tcW w:w="277" w:type="dxa"/>
            <w:gridSpan w:val="3"/>
          </w:tcPr>
          <w:p w14:paraId="76337BEF" w14:textId="77777777" w:rsidR="001F5E28" w:rsidRPr="009957FF" w:rsidRDefault="001F5E28" w:rsidP="008F1E55"/>
        </w:tc>
        <w:tc>
          <w:tcPr>
            <w:tcW w:w="9788" w:type="dxa"/>
            <w:gridSpan w:val="15"/>
            <w:shd w:val="clear" w:color="auto" w:fill="auto"/>
            <w:vAlign w:val="center"/>
          </w:tcPr>
          <w:p w14:paraId="30267C6E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  <w:t>ИН _____________________________</w:t>
            </w:r>
          </w:p>
        </w:tc>
        <w:tc>
          <w:tcPr>
            <w:tcW w:w="1905" w:type="dxa"/>
            <w:gridSpan w:val="7"/>
          </w:tcPr>
          <w:p w14:paraId="4F80647F" w14:textId="77777777" w:rsidR="001F5E28" w:rsidRPr="009957FF" w:rsidRDefault="001F5E28" w:rsidP="008F1E55"/>
        </w:tc>
      </w:tr>
      <w:tr w:rsidR="001F5E28" w:rsidRPr="009957FF" w14:paraId="5EC993E7" w14:textId="77777777" w:rsidTr="00153BA7">
        <w:trPr>
          <w:trHeight w:hRule="exact" w:val="1189"/>
        </w:trPr>
        <w:tc>
          <w:tcPr>
            <w:tcW w:w="11970" w:type="dxa"/>
            <w:gridSpan w:val="25"/>
          </w:tcPr>
          <w:p w14:paraId="04AF93E6" w14:textId="77777777" w:rsidR="001F5E28" w:rsidRPr="009957FF" w:rsidRDefault="001F5E28" w:rsidP="008F1E55"/>
        </w:tc>
      </w:tr>
      <w:tr w:rsidR="001F5E28" w:rsidRPr="009957FF" w14:paraId="73C0746B" w14:textId="77777777" w:rsidTr="00153BA7">
        <w:trPr>
          <w:trHeight w:hRule="exact" w:val="1175"/>
        </w:trPr>
        <w:tc>
          <w:tcPr>
            <w:tcW w:w="11970" w:type="dxa"/>
            <w:gridSpan w:val="25"/>
          </w:tcPr>
          <w:p w14:paraId="763BEB58" w14:textId="77777777" w:rsidR="001F5E28" w:rsidRPr="009957FF" w:rsidRDefault="001F5E28" w:rsidP="008F1E55"/>
        </w:tc>
      </w:tr>
      <w:tr w:rsidR="001F5E28" w:rsidRPr="009957FF" w14:paraId="6C36992F" w14:textId="77777777" w:rsidTr="00153BA7">
        <w:trPr>
          <w:trHeight w:hRule="exact" w:val="903"/>
        </w:trPr>
        <w:tc>
          <w:tcPr>
            <w:tcW w:w="639" w:type="dxa"/>
            <w:gridSpan w:val="11"/>
          </w:tcPr>
          <w:p w14:paraId="393F2AFA" w14:textId="77777777" w:rsidR="001F5E28" w:rsidRPr="009957FF" w:rsidRDefault="001F5E28" w:rsidP="008F1E55"/>
        </w:tc>
        <w:tc>
          <w:tcPr>
            <w:tcW w:w="9426" w:type="dxa"/>
            <w:gridSpan w:val="7"/>
            <w:shd w:val="clear" w:color="auto" w:fill="auto"/>
            <w:vAlign w:val="center"/>
          </w:tcPr>
          <w:p w14:paraId="47608745" w14:textId="77777777" w:rsidR="001F5E28" w:rsidRPr="002F72D1" w:rsidRDefault="00E10692" w:rsidP="00565FC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>Астана</w:t>
            </w:r>
          </w:p>
        </w:tc>
        <w:tc>
          <w:tcPr>
            <w:tcW w:w="1905" w:type="dxa"/>
            <w:gridSpan w:val="7"/>
          </w:tcPr>
          <w:p w14:paraId="5D3242B9" w14:textId="77777777" w:rsidR="001F5E28" w:rsidRPr="009957FF" w:rsidRDefault="001F5E28" w:rsidP="008F1E55"/>
        </w:tc>
      </w:tr>
      <w:tr w:rsidR="001F5E28" w:rsidRPr="009957FF" w14:paraId="534E2995" w14:textId="77777777" w:rsidTr="00FB2F08">
        <w:trPr>
          <w:trHeight w:hRule="exact" w:val="463"/>
        </w:trPr>
        <w:tc>
          <w:tcPr>
            <w:tcW w:w="11970" w:type="dxa"/>
            <w:gridSpan w:val="25"/>
          </w:tcPr>
          <w:p w14:paraId="059F8216" w14:textId="77777777" w:rsidR="001F5E28" w:rsidRPr="009957FF" w:rsidRDefault="001F5E28" w:rsidP="008F1E55"/>
        </w:tc>
      </w:tr>
      <w:tr w:rsidR="001F5E28" w:rsidRPr="009957FF" w14:paraId="564FB008" w14:textId="77777777" w:rsidTr="00FB2F08">
        <w:trPr>
          <w:trHeight w:hRule="exact" w:val="430"/>
        </w:trPr>
        <w:tc>
          <w:tcPr>
            <w:tcW w:w="10065" w:type="dxa"/>
            <w:gridSpan w:val="18"/>
            <w:shd w:val="clear" w:color="auto" w:fill="auto"/>
            <w:vAlign w:val="center"/>
          </w:tcPr>
          <w:p w14:paraId="789E1DAE" w14:textId="77777777" w:rsidR="001F5E28" w:rsidRPr="00FB2F08" w:rsidRDefault="001D1A6A" w:rsidP="00FB2F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FB2F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1</w:t>
            </w:r>
          </w:p>
        </w:tc>
        <w:tc>
          <w:tcPr>
            <w:tcW w:w="1905" w:type="dxa"/>
            <w:gridSpan w:val="7"/>
          </w:tcPr>
          <w:p w14:paraId="64E59345" w14:textId="77777777" w:rsidR="001F5E28" w:rsidRPr="009957FF" w:rsidRDefault="001F5E28" w:rsidP="00FB2F08"/>
        </w:tc>
      </w:tr>
      <w:tr w:rsidR="001F5E28" w:rsidRPr="009957FF" w14:paraId="6E9D546B" w14:textId="77777777" w:rsidTr="00153BA7">
        <w:trPr>
          <w:trHeight w:hRule="exact" w:val="468"/>
        </w:trPr>
        <w:tc>
          <w:tcPr>
            <w:tcW w:w="10065" w:type="dxa"/>
            <w:gridSpan w:val="18"/>
            <w:shd w:val="clear" w:color="auto" w:fill="auto"/>
          </w:tcPr>
          <w:p w14:paraId="4A21074F" w14:textId="77777777" w:rsidR="001F5E28" w:rsidRPr="00FB2F08" w:rsidRDefault="001D1A6A" w:rsidP="00FB2F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FB2F0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Тестовые вопросы</w:t>
            </w:r>
          </w:p>
        </w:tc>
        <w:tc>
          <w:tcPr>
            <w:tcW w:w="1905" w:type="dxa"/>
            <w:gridSpan w:val="7"/>
          </w:tcPr>
          <w:p w14:paraId="70224AD2" w14:textId="77777777" w:rsidR="001F5E28" w:rsidRPr="009957FF" w:rsidRDefault="001F5E28" w:rsidP="00FB2F08"/>
        </w:tc>
      </w:tr>
      <w:tr w:rsidR="001F5E28" w:rsidRPr="009957FF" w14:paraId="3D36C34A" w14:textId="77777777" w:rsidTr="00FB2F08">
        <w:trPr>
          <w:trHeight w:hRule="exact" w:val="243"/>
        </w:trPr>
        <w:tc>
          <w:tcPr>
            <w:tcW w:w="10065" w:type="dxa"/>
            <w:gridSpan w:val="18"/>
            <w:shd w:val="clear" w:color="auto" w:fill="auto"/>
          </w:tcPr>
          <w:p w14:paraId="24BC9013" w14:textId="77777777"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905" w:type="dxa"/>
            <w:gridSpan w:val="7"/>
          </w:tcPr>
          <w:p w14:paraId="70EFDE79" w14:textId="77777777" w:rsidR="001F5E28" w:rsidRPr="009957FF" w:rsidRDefault="001F5E28" w:rsidP="008F1E55"/>
        </w:tc>
      </w:tr>
      <w:tr w:rsidR="001F5E28" w:rsidRPr="009957FF" w14:paraId="1781AA79" w14:textId="77777777" w:rsidTr="00387A2C">
        <w:trPr>
          <w:trHeight w:hRule="exact" w:val="842"/>
        </w:trPr>
        <w:tc>
          <w:tcPr>
            <w:tcW w:w="406" w:type="dxa"/>
            <w:gridSpan w:val="6"/>
            <w:shd w:val="clear" w:color="auto" w:fill="auto"/>
            <w:vAlign w:val="center"/>
          </w:tcPr>
          <w:p w14:paraId="78EEC71F" w14:textId="77777777" w:rsidR="001F5E28" w:rsidRPr="0018407E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840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20" w:type="dxa"/>
          </w:tcPr>
          <w:p w14:paraId="7B59D6E9" w14:textId="77777777" w:rsidR="001F5E28" w:rsidRPr="009957FF" w:rsidRDefault="001F5E28" w:rsidP="008F1E55"/>
        </w:tc>
        <w:tc>
          <w:tcPr>
            <w:tcW w:w="9639" w:type="dxa"/>
            <w:gridSpan w:val="11"/>
            <w:vMerge w:val="restart"/>
          </w:tcPr>
          <w:p w14:paraId="4096A327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Согласно МСФО (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21 по какому курсу внеоборотные активы предприятия должны переводиться, если его функциональная валюта переводится в другую валюту представления?</w:t>
            </w:r>
          </w:p>
          <w:p w14:paraId="6DFDE868" w14:textId="77777777" w:rsidR="001F5E28" w:rsidRPr="001F41DF" w:rsidRDefault="001F5E28" w:rsidP="002F72D1">
            <w:pPr>
              <w:tabs>
                <w:tab w:val="left" w:pos="284"/>
              </w:tabs>
              <w:jc w:val="both"/>
            </w:pPr>
          </w:p>
        </w:tc>
        <w:tc>
          <w:tcPr>
            <w:tcW w:w="1905" w:type="dxa"/>
            <w:gridSpan w:val="7"/>
          </w:tcPr>
          <w:p w14:paraId="40C9C46F" w14:textId="77777777" w:rsidR="001F5E28" w:rsidRPr="009957FF" w:rsidRDefault="001F5E28" w:rsidP="008F1E55"/>
        </w:tc>
      </w:tr>
      <w:tr w:rsidR="001F5E28" w:rsidRPr="009957FF" w14:paraId="119616F2" w14:textId="77777777" w:rsidTr="00153BA7">
        <w:trPr>
          <w:trHeight w:hRule="exact" w:val="80"/>
        </w:trPr>
        <w:tc>
          <w:tcPr>
            <w:tcW w:w="426" w:type="dxa"/>
            <w:gridSpan w:val="7"/>
          </w:tcPr>
          <w:p w14:paraId="647596C2" w14:textId="77777777" w:rsidR="001F5E28" w:rsidRPr="009957FF" w:rsidRDefault="001F5E28" w:rsidP="008F1E55"/>
        </w:tc>
        <w:tc>
          <w:tcPr>
            <w:tcW w:w="9639" w:type="dxa"/>
            <w:gridSpan w:val="11"/>
            <w:vMerge/>
          </w:tcPr>
          <w:p w14:paraId="0E25702A" w14:textId="77777777" w:rsidR="001F5E28" w:rsidRPr="001F41DF" w:rsidRDefault="001F5E28" w:rsidP="008F1E55"/>
        </w:tc>
        <w:tc>
          <w:tcPr>
            <w:tcW w:w="1905" w:type="dxa"/>
            <w:gridSpan w:val="7"/>
          </w:tcPr>
          <w:p w14:paraId="4D4CAD02" w14:textId="77777777" w:rsidR="001F5E28" w:rsidRPr="009957FF" w:rsidRDefault="001F5E28" w:rsidP="008F1E55"/>
        </w:tc>
      </w:tr>
      <w:tr w:rsidR="00A6615D" w:rsidRPr="003040DC" w14:paraId="16BDFD99" w14:textId="77777777" w:rsidTr="00153BA7">
        <w:trPr>
          <w:trHeight w:hRule="exact" w:val="315"/>
        </w:trPr>
        <w:tc>
          <w:tcPr>
            <w:tcW w:w="851" w:type="dxa"/>
            <w:gridSpan w:val="12"/>
          </w:tcPr>
          <w:p w14:paraId="45FB06FF" w14:textId="77777777" w:rsidR="00A6615D" w:rsidRPr="001F41DF" w:rsidRDefault="00A6615D" w:rsidP="008F1E55"/>
        </w:tc>
        <w:tc>
          <w:tcPr>
            <w:tcW w:w="425" w:type="dxa"/>
            <w:gridSpan w:val="2"/>
            <w:shd w:val="clear" w:color="auto" w:fill="auto"/>
          </w:tcPr>
          <w:p w14:paraId="4A48509C" w14:textId="77777777" w:rsidR="00A6615D" w:rsidRPr="001F41DF" w:rsidRDefault="00A6615D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34940B2" w14:textId="77777777" w:rsidR="00387A2C" w:rsidRPr="001F41DF" w:rsidRDefault="00387A2C" w:rsidP="00387A2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текущему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курсу</w:t>
            </w:r>
            <w:proofErr w:type="spellEnd"/>
          </w:p>
          <w:p w14:paraId="3C43C634" w14:textId="77777777" w:rsidR="00A6615D" w:rsidRPr="001F41DF" w:rsidRDefault="00A6615D" w:rsidP="00A6615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0F17950E" w14:textId="77777777" w:rsidR="00A6615D" w:rsidRPr="003040DC" w:rsidRDefault="00A6615D" w:rsidP="008F1E55"/>
        </w:tc>
      </w:tr>
      <w:tr w:rsidR="003A5F51" w:rsidRPr="003040DC" w14:paraId="448FBC3C" w14:textId="77777777" w:rsidTr="00153BA7">
        <w:trPr>
          <w:trHeight w:hRule="exact" w:val="303"/>
        </w:trPr>
        <w:tc>
          <w:tcPr>
            <w:tcW w:w="851" w:type="dxa"/>
            <w:gridSpan w:val="12"/>
          </w:tcPr>
          <w:p w14:paraId="11B6A350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26A3E78A" w14:textId="77777777" w:rsidR="003A5F51" w:rsidRPr="001F41DF" w:rsidRDefault="003A5F5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8F66ACD" w14:textId="77777777" w:rsidR="00387A2C" w:rsidRPr="001F41DF" w:rsidRDefault="00387A2C" w:rsidP="00387A2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историческому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курсу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206C3A3A" w14:textId="77777777" w:rsidR="003A5F51" w:rsidRPr="001F41DF" w:rsidRDefault="003A5F51" w:rsidP="003A5F51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7302915E" w14:textId="77777777" w:rsidR="003A5F51" w:rsidRPr="003040DC" w:rsidRDefault="003A5F51" w:rsidP="008F1E55"/>
        </w:tc>
      </w:tr>
      <w:tr w:rsidR="003A5F51" w:rsidRPr="003040DC" w14:paraId="35A4ED5D" w14:textId="77777777" w:rsidTr="00153BA7">
        <w:trPr>
          <w:trHeight w:hRule="exact" w:val="329"/>
        </w:trPr>
        <w:tc>
          <w:tcPr>
            <w:tcW w:w="851" w:type="dxa"/>
            <w:gridSpan w:val="12"/>
          </w:tcPr>
          <w:p w14:paraId="593511A7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63F314EC" w14:textId="77777777" w:rsidR="003A5F51" w:rsidRPr="001F41DF" w:rsidRDefault="003A5F51" w:rsidP="001D0AC5">
            <w:pPr>
              <w:rPr>
                <w:rFonts w:ascii="Times New Roman" w:hAnsi="Times New Roman" w:cs="Times New Roman"/>
              </w:rPr>
            </w:pPr>
            <w:r w:rsidRPr="001F41DF"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F769917" w14:textId="77777777" w:rsidR="00387A2C" w:rsidRPr="001F41DF" w:rsidRDefault="00387A2C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По курсу закрытия;</w:t>
            </w:r>
          </w:p>
          <w:p w14:paraId="03DC1520" w14:textId="77777777" w:rsidR="003A5F51" w:rsidRPr="001F41DF" w:rsidRDefault="003A5F51" w:rsidP="003A5F5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2D231337" w14:textId="77777777" w:rsidR="003A5F51" w:rsidRDefault="003A5F51">
            <w:r w:rsidRPr="00B84735">
              <w:rPr>
                <w:rFonts w:ascii="Times New Roman" w:hAnsi="Times New Roman"/>
                <w:sz w:val="24"/>
                <w:highlight w:val="yellow"/>
                <w:shd w:val="clear" w:color="auto" w:fill="FFFF00"/>
              </w:rPr>
              <w:t xml:space="preserve"> </w:t>
            </w:r>
          </w:p>
        </w:tc>
      </w:tr>
      <w:tr w:rsidR="003A5F51" w:rsidRPr="003040DC" w14:paraId="51E73038" w14:textId="77777777" w:rsidTr="00153BA7">
        <w:trPr>
          <w:trHeight w:hRule="exact" w:val="315"/>
        </w:trPr>
        <w:tc>
          <w:tcPr>
            <w:tcW w:w="851" w:type="dxa"/>
            <w:gridSpan w:val="12"/>
          </w:tcPr>
          <w:p w14:paraId="1332CE19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1F19493C" w14:textId="77777777" w:rsidR="003A5F51" w:rsidRPr="001F41DF" w:rsidRDefault="003A5F5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81B4675" w14:textId="77777777" w:rsidR="003A5F51" w:rsidRPr="001F41DF" w:rsidRDefault="00387A2C" w:rsidP="003A5F51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1F41DF">
              <w:rPr>
                <w:rFonts w:ascii="Times New Roman" w:hAnsi="Times New Roman"/>
                <w:sz w:val="24"/>
              </w:rPr>
              <w:t xml:space="preserve">Среднему курсу </w:t>
            </w:r>
          </w:p>
        </w:tc>
        <w:tc>
          <w:tcPr>
            <w:tcW w:w="1905" w:type="dxa"/>
            <w:gridSpan w:val="7"/>
          </w:tcPr>
          <w:p w14:paraId="396AD12B" w14:textId="77777777" w:rsidR="003A5F51" w:rsidRDefault="003A5F51"/>
        </w:tc>
      </w:tr>
      <w:tr w:rsidR="009D374D" w:rsidRPr="003040DC" w14:paraId="03AADAC8" w14:textId="77777777" w:rsidTr="00153BA7">
        <w:trPr>
          <w:trHeight w:hRule="exact" w:val="177"/>
        </w:trPr>
        <w:tc>
          <w:tcPr>
            <w:tcW w:w="379" w:type="dxa"/>
            <w:gridSpan w:val="5"/>
            <w:shd w:val="clear" w:color="auto" w:fill="auto"/>
            <w:vAlign w:val="center"/>
          </w:tcPr>
          <w:p w14:paraId="2D31A6C4" w14:textId="77777777" w:rsidR="009D374D" w:rsidRPr="007F692C" w:rsidRDefault="009D374D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69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5"/>
          </w:tcPr>
          <w:p w14:paraId="64D77F8C" w14:textId="77777777" w:rsidR="009D374D" w:rsidRPr="001F41DF" w:rsidRDefault="009D374D" w:rsidP="008F1E55"/>
        </w:tc>
        <w:tc>
          <w:tcPr>
            <w:tcW w:w="9589" w:type="dxa"/>
            <w:gridSpan w:val="8"/>
            <w:vMerge w:val="restart"/>
          </w:tcPr>
          <w:p w14:paraId="3A450F9A" w14:textId="77777777" w:rsidR="00FD69F5" w:rsidRPr="001F41DF" w:rsidRDefault="00FD69F5" w:rsidP="00FD69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При каком из методов отчет о движении денежных средств начинается с показателя чистой прибыли? </w:t>
            </w:r>
          </w:p>
          <w:p w14:paraId="06745673" w14:textId="77777777" w:rsidR="009D374D" w:rsidRPr="001F41DF" w:rsidRDefault="009D374D" w:rsidP="00040BE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3825228A" w14:textId="77777777" w:rsidR="009D374D" w:rsidRPr="003040DC" w:rsidRDefault="009D374D"/>
        </w:tc>
      </w:tr>
      <w:tr w:rsidR="009D374D" w:rsidRPr="003040DC" w14:paraId="7711368E" w14:textId="77777777" w:rsidTr="00153BA7">
        <w:trPr>
          <w:trHeight w:hRule="exact" w:val="80"/>
        </w:trPr>
        <w:tc>
          <w:tcPr>
            <w:tcW w:w="476" w:type="dxa"/>
            <w:gridSpan w:val="10"/>
          </w:tcPr>
          <w:p w14:paraId="4C97EB8B" w14:textId="77777777" w:rsidR="009D374D" w:rsidRPr="001F41DF" w:rsidRDefault="009D374D" w:rsidP="008F1E55"/>
        </w:tc>
        <w:tc>
          <w:tcPr>
            <w:tcW w:w="9589" w:type="dxa"/>
            <w:gridSpan w:val="8"/>
            <w:vMerge/>
          </w:tcPr>
          <w:p w14:paraId="7B3418DF" w14:textId="77777777" w:rsidR="009D374D" w:rsidRPr="001F41DF" w:rsidRDefault="009D374D" w:rsidP="00040BE4"/>
        </w:tc>
        <w:tc>
          <w:tcPr>
            <w:tcW w:w="1905" w:type="dxa"/>
            <w:gridSpan w:val="7"/>
          </w:tcPr>
          <w:p w14:paraId="18AB1A00" w14:textId="77777777" w:rsidR="009D374D" w:rsidRPr="003040DC" w:rsidRDefault="009D374D"/>
        </w:tc>
      </w:tr>
      <w:tr w:rsidR="001F5E28" w:rsidRPr="003040DC" w14:paraId="5B74A136" w14:textId="77777777" w:rsidTr="00153BA7">
        <w:trPr>
          <w:trHeight w:hRule="exact" w:val="80"/>
        </w:trPr>
        <w:tc>
          <w:tcPr>
            <w:tcW w:w="476" w:type="dxa"/>
            <w:gridSpan w:val="10"/>
          </w:tcPr>
          <w:p w14:paraId="6A66ED81" w14:textId="77777777" w:rsidR="001F5E28" w:rsidRPr="001F41DF" w:rsidRDefault="001F5E28" w:rsidP="008F1E55"/>
        </w:tc>
        <w:tc>
          <w:tcPr>
            <w:tcW w:w="9589" w:type="dxa"/>
            <w:gridSpan w:val="8"/>
            <w:vMerge/>
          </w:tcPr>
          <w:p w14:paraId="09B25AE3" w14:textId="77777777" w:rsidR="001F5E28" w:rsidRPr="001F41DF" w:rsidRDefault="001F5E28" w:rsidP="00040BE4"/>
        </w:tc>
        <w:tc>
          <w:tcPr>
            <w:tcW w:w="1905" w:type="dxa"/>
            <w:gridSpan w:val="7"/>
          </w:tcPr>
          <w:p w14:paraId="1A5574F5" w14:textId="77777777" w:rsidR="001F5E28" w:rsidRPr="003040DC" w:rsidRDefault="001F5E28" w:rsidP="008F1E55"/>
        </w:tc>
      </w:tr>
      <w:tr w:rsidR="001F5E28" w:rsidRPr="003040DC" w14:paraId="3DC2705D" w14:textId="77777777" w:rsidTr="009908A6">
        <w:trPr>
          <w:trHeight w:hRule="exact" w:val="315"/>
        </w:trPr>
        <w:tc>
          <w:tcPr>
            <w:tcW w:w="476" w:type="dxa"/>
            <w:gridSpan w:val="10"/>
          </w:tcPr>
          <w:p w14:paraId="24597607" w14:textId="77777777" w:rsidR="001F5E28" w:rsidRPr="001F41DF" w:rsidRDefault="001F5E28" w:rsidP="008F1E55"/>
        </w:tc>
        <w:tc>
          <w:tcPr>
            <w:tcW w:w="9589" w:type="dxa"/>
            <w:gridSpan w:val="8"/>
            <w:vMerge/>
          </w:tcPr>
          <w:p w14:paraId="1711A31E" w14:textId="77777777" w:rsidR="001F5E28" w:rsidRPr="001F41DF" w:rsidRDefault="001F5E28" w:rsidP="00040BE4"/>
        </w:tc>
        <w:tc>
          <w:tcPr>
            <w:tcW w:w="1905" w:type="dxa"/>
            <w:gridSpan w:val="7"/>
          </w:tcPr>
          <w:p w14:paraId="1AAB6EB2" w14:textId="77777777" w:rsidR="001F5E28" w:rsidRPr="003040DC" w:rsidRDefault="001F5E28" w:rsidP="008F1E55"/>
        </w:tc>
      </w:tr>
      <w:tr w:rsidR="00AD6F4C" w:rsidRPr="003040DC" w14:paraId="50DD67D3" w14:textId="77777777" w:rsidTr="00153BA7">
        <w:trPr>
          <w:trHeight w:hRule="exact" w:val="274"/>
        </w:trPr>
        <w:tc>
          <w:tcPr>
            <w:tcW w:w="851" w:type="dxa"/>
            <w:gridSpan w:val="12"/>
          </w:tcPr>
          <w:p w14:paraId="675D877C" w14:textId="77777777" w:rsidR="00AD6F4C" w:rsidRPr="001F41DF" w:rsidRDefault="00AD6F4C" w:rsidP="008F1E55"/>
        </w:tc>
        <w:tc>
          <w:tcPr>
            <w:tcW w:w="283" w:type="dxa"/>
            <w:shd w:val="clear" w:color="auto" w:fill="auto"/>
          </w:tcPr>
          <w:p w14:paraId="0A2388E0" w14:textId="77777777" w:rsidR="00AD6F4C" w:rsidRPr="001F41DF" w:rsidRDefault="00AD6F4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1046B146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прямом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030B913E" w14:textId="77777777" w:rsidR="00AD6F4C" w:rsidRPr="001F41DF" w:rsidRDefault="00AD6F4C" w:rsidP="00040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6DCF9D96" w14:textId="77777777" w:rsidR="00AD6F4C" w:rsidRPr="003040DC" w:rsidRDefault="00AD6F4C" w:rsidP="008F1E55"/>
        </w:tc>
      </w:tr>
      <w:tr w:rsidR="00AD6F4C" w:rsidRPr="003040DC" w14:paraId="486A8773" w14:textId="77777777" w:rsidTr="009908A6">
        <w:trPr>
          <w:trHeight w:hRule="exact" w:val="281"/>
        </w:trPr>
        <w:tc>
          <w:tcPr>
            <w:tcW w:w="851" w:type="dxa"/>
            <w:gridSpan w:val="12"/>
          </w:tcPr>
          <w:p w14:paraId="58E4DC72" w14:textId="77777777" w:rsidR="00AD6F4C" w:rsidRPr="001F41DF" w:rsidRDefault="00AD6F4C" w:rsidP="008F1E55"/>
        </w:tc>
        <w:tc>
          <w:tcPr>
            <w:tcW w:w="283" w:type="dxa"/>
            <w:shd w:val="clear" w:color="auto" w:fill="auto"/>
          </w:tcPr>
          <w:p w14:paraId="5EE9F69A" w14:textId="77777777" w:rsidR="00AD6F4C" w:rsidRPr="001F41DF" w:rsidRDefault="00AD6F4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0A64F15" w14:textId="77777777" w:rsidR="00FD69F5" w:rsidRPr="001F41DF" w:rsidRDefault="00FD69F5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косвенном;</w:t>
            </w:r>
          </w:p>
          <w:p w14:paraId="1734AA01" w14:textId="77777777" w:rsidR="00AD6F4C" w:rsidRPr="001F41DF" w:rsidRDefault="00AD6F4C" w:rsidP="00AD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5A6AA5E1" w14:textId="77777777" w:rsidR="00AD6F4C" w:rsidRPr="003040DC" w:rsidRDefault="00AD6F4C" w:rsidP="008F1E55"/>
        </w:tc>
      </w:tr>
      <w:tr w:rsidR="00AD6F4C" w:rsidRPr="003040DC" w14:paraId="4F7AD2BD" w14:textId="77777777" w:rsidTr="00E301DC">
        <w:trPr>
          <w:trHeight w:hRule="exact" w:val="275"/>
        </w:trPr>
        <w:tc>
          <w:tcPr>
            <w:tcW w:w="851" w:type="dxa"/>
            <w:gridSpan w:val="12"/>
          </w:tcPr>
          <w:p w14:paraId="39DB1108" w14:textId="77777777" w:rsidR="00AD6F4C" w:rsidRPr="001F41DF" w:rsidRDefault="00AD6F4C" w:rsidP="008F1E55"/>
        </w:tc>
        <w:tc>
          <w:tcPr>
            <w:tcW w:w="283" w:type="dxa"/>
            <w:shd w:val="clear" w:color="auto" w:fill="auto"/>
          </w:tcPr>
          <w:p w14:paraId="242939F9" w14:textId="77777777" w:rsidR="00AD6F4C" w:rsidRPr="001F41DF" w:rsidRDefault="00AD6F4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CA1C5AB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обоих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45292483" w14:textId="77777777" w:rsidR="00AD6F4C" w:rsidRPr="001F41DF" w:rsidRDefault="00AD6F4C" w:rsidP="00AD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566A84F0" w14:textId="77777777" w:rsidR="00AD6F4C" w:rsidRPr="003040DC" w:rsidRDefault="00AD6F4C" w:rsidP="008F1E55"/>
        </w:tc>
      </w:tr>
      <w:tr w:rsidR="00AD6F4C" w:rsidRPr="003040DC" w14:paraId="1B5E5246" w14:textId="77777777" w:rsidTr="009908A6">
        <w:trPr>
          <w:trHeight w:hRule="exact" w:val="275"/>
        </w:trPr>
        <w:tc>
          <w:tcPr>
            <w:tcW w:w="851" w:type="dxa"/>
            <w:gridSpan w:val="12"/>
          </w:tcPr>
          <w:p w14:paraId="35F3778D" w14:textId="77777777" w:rsidR="00AD6F4C" w:rsidRPr="001F41DF" w:rsidRDefault="00AD6F4C" w:rsidP="008F1E55"/>
        </w:tc>
        <w:tc>
          <w:tcPr>
            <w:tcW w:w="283" w:type="dxa"/>
            <w:shd w:val="clear" w:color="auto" w:fill="auto"/>
          </w:tcPr>
          <w:p w14:paraId="583E1C5C" w14:textId="77777777" w:rsidR="00AD6F4C" w:rsidRPr="001F41DF" w:rsidRDefault="00AD6F4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61D2E1D7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ни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одном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722EEEF0" w14:textId="77777777" w:rsidR="00AD6F4C" w:rsidRPr="001F41DF" w:rsidRDefault="00AD6F4C" w:rsidP="00AD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0D91545E" w14:textId="77777777" w:rsidR="00AD6F4C" w:rsidRPr="003040DC" w:rsidRDefault="00AD6F4C" w:rsidP="008F1E55"/>
        </w:tc>
      </w:tr>
      <w:tr w:rsidR="00597503" w:rsidRPr="003040DC" w14:paraId="1A412673" w14:textId="77777777" w:rsidTr="00153BA7">
        <w:trPr>
          <w:trHeight w:hRule="exact" w:val="239"/>
        </w:trPr>
        <w:tc>
          <w:tcPr>
            <w:tcW w:w="379" w:type="dxa"/>
            <w:gridSpan w:val="5"/>
            <w:shd w:val="clear" w:color="auto" w:fill="auto"/>
            <w:vAlign w:val="center"/>
          </w:tcPr>
          <w:p w14:paraId="0C86FCC8" w14:textId="77777777" w:rsidR="00597503" w:rsidRPr="00A6615D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5"/>
          </w:tcPr>
          <w:p w14:paraId="319C44B9" w14:textId="77777777" w:rsidR="00597503" w:rsidRPr="001F41DF" w:rsidRDefault="00597503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589" w:type="dxa"/>
            <w:gridSpan w:val="8"/>
            <w:vMerge w:val="restart"/>
          </w:tcPr>
          <w:p w14:paraId="53052C4C" w14:textId="77777777" w:rsidR="00AE1C8C" w:rsidRPr="001F41DF" w:rsidRDefault="00AE1C8C" w:rsidP="00AE1C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Совет директоров организации принял решение о составлении первой отчетности по МСФО за 2017 год. Согласно учетной политике сравнительная информация представляется за два года. Определить дату перехода на МСФО:</w:t>
            </w:r>
          </w:p>
          <w:p w14:paraId="08813734" w14:textId="77777777" w:rsidR="00597503" w:rsidRPr="001F41DF" w:rsidRDefault="00597503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602F8654" w14:textId="77777777" w:rsidR="00597503" w:rsidRPr="003040DC" w:rsidRDefault="00597503" w:rsidP="008F1E55"/>
        </w:tc>
      </w:tr>
      <w:tr w:rsidR="001F5E28" w:rsidRPr="003040DC" w14:paraId="0F6F8FD8" w14:textId="77777777" w:rsidTr="00AE1C8C">
        <w:trPr>
          <w:trHeight w:hRule="exact" w:val="619"/>
        </w:trPr>
        <w:tc>
          <w:tcPr>
            <w:tcW w:w="476" w:type="dxa"/>
            <w:gridSpan w:val="10"/>
          </w:tcPr>
          <w:p w14:paraId="506CCCC3" w14:textId="77777777" w:rsidR="001F5E28" w:rsidRPr="001F41DF" w:rsidRDefault="001F5E28" w:rsidP="008F1E55"/>
        </w:tc>
        <w:tc>
          <w:tcPr>
            <w:tcW w:w="9589" w:type="dxa"/>
            <w:gridSpan w:val="8"/>
            <w:vMerge/>
          </w:tcPr>
          <w:p w14:paraId="78F83D83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665CC146" w14:textId="77777777" w:rsidR="001F5E28" w:rsidRPr="003040DC" w:rsidRDefault="001F5E28" w:rsidP="008F1E55"/>
        </w:tc>
      </w:tr>
      <w:tr w:rsidR="00AD6F4C" w:rsidRPr="003040DC" w14:paraId="0DDAABD4" w14:textId="77777777" w:rsidTr="00153BA7">
        <w:trPr>
          <w:trHeight w:hRule="exact" w:val="281"/>
        </w:trPr>
        <w:tc>
          <w:tcPr>
            <w:tcW w:w="851" w:type="dxa"/>
            <w:gridSpan w:val="12"/>
          </w:tcPr>
          <w:p w14:paraId="45EE1D25" w14:textId="77777777" w:rsidR="00AD6F4C" w:rsidRPr="001F41DF" w:rsidRDefault="00AD6F4C" w:rsidP="008F1E55"/>
        </w:tc>
        <w:tc>
          <w:tcPr>
            <w:tcW w:w="438" w:type="dxa"/>
            <w:gridSpan w:val="3"/>
            <w:shd w:val="clear" w:color="auto" w:fill="auto"/>
          </w:tcPr>
          <w:p w14:paraId="5AE0FFD0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3"/>
            <w:shd w:val="clear" w:color="auto" w:fill="auto"/>
          </w:tcPr>
          <w:p w14:paraId="04C2B392" w14:textId="77777777" w:rsidR="00AE1C8C" w:rsidRPr="001F41DF" w:rsidRDefault="00AE1C8C" w:rsidP="00AE1C8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01.01.2017г.</w:t>
            </w:r>
          </w:p>
          <w:p w14:paraId="3C6F95D2" w14:textId="77777777" w:rsidR="00AD6F4C" w:rsidRPr="001F41DF" w:rsidRDefault="00AD6F4C" w:rsidP="00AD6F4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1FD37275" w14:textId="77777777" w:rsidR="00AD6F4C" w:rsidRPr="003040DC" w:rsidRDefault="00AD6F4C" w:rsidP="008F1E55"/>
        </w:tc>
      </w:tr>
      <w:tr w:rsidR="00AD6F4C" w:rsidRPr="003040DC" w14:paraId="494F9BF9" w14:textId="77777777" w:rsidTr="00153BA7">
        <w:trPr>
          <w:trHeight w:hRule="exact" w:val="311"/>
        </w:trPr>
        <w:tc>
          <w:tcPr>
            <w:tcW w:w="851" w:type="dxa"/>
            <w:gridSpan w:val="12"/>
          </w:tcPr>
          <w:p w14:paraId="18FE95C5" w14:textId="77777777" w:rsidR="00AD6F4C" w:rsidRPr="001F41DF" w:rsidRDefault="00AD6F4C" w:rsidP="008F1E55"/>
        </w:tc>
        <w:tc>
          <w:tcPr>
            <w:tcW w:w="438" w:type="dxa"/>
            <w:gridSpan w:val="3"/>
            <w:shd w:val="clear" w:color="auto" w:fill="auto"/>
          </w:tcPr>
          <w:p w14:paraId="79C4716B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3"/>
            <w:shd w:val="clear" w:color="auto" w:fill="auto"/>
          </w:tcPr>
          <w:p w14:paraId="00400153" w14:textId="77777777" w:rsidR="00AE1C8C" w:rsidRPr="001F41DF" w:rsidRDefault="00AE1C8C" w:rsidP="00AE1C8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01.01.2016г.</w:t>
            </w:r>
          </w:p>
          <w:p w14:paraId="327F6C8C" w14:textId="77777777" w:rsidR="00AD6F4C" w:rsidRPr="001F41DF" w:rsidRDefault="00AD6F4C" w:rsidP="00135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5D7414D2" w14:textId="77777777" w:rsidR="00AD6F4C" w:rsidRPr="003040DC" w:rsidRDefault="00AD6F4C" w:rsidP="008F1E55"/>
        </w:tc>
      </w:tr>
      <w:tr w:rsidR="00AD6F4C" w:rsidRPr="003040DC" w14:paraId="4A0B0D84" w14:textId="77777777" w:rsidTr="00153BA7">
        <w:trPr>
          <w:trHeight w:hRule="exact" w:val="283"/>
        </w:trPr>
        <w:tc>
          <w:tcPr>
            <w:tcW w:w="851" w:type="dxa"/>
            <w:gridSpan w:val="12"/>
          </w:tcPr>
          <w:p w14:paraId="0E1F7793" w14:textId="77777777" w:rsidR="00AD6F4C" w:rsidRPr="001F41DF" w:rsidRDefault="00AD6F4C" w:rsidP="008F1E55"/>
        </w:tc>
        <w:tc>
          <w:tcPr>
            <w:tcW w:w="438" w:type="dxa"/>
            <w:gridSpan w:val="3"/>
            <w:shd w:val="clear" w:color="auto" w:fill="auto"/>
          </w:tcPr>
          <w:p w14:paraId="683B0D41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3"/>
            <w:shd w:val="clear" w:color="auto" w:fill="auto"/>
          </w:tcPr>
          <w:p w14:paraId="3C786210" w14:textId="77777777" w:rsidR="00AE1C8C" w:rsidRPr="001F41DF" w:rsidRDefault="00AE1C8C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01.01.2015г.</w:t>
            </w:r>
          </w:p>
          <w:p w14:paraId="7156C56B" w14:textId="77777777" w:rsidR="00AD6F4C" w:rsidRPr="001F41DF" w:rsidRDefault="00AD6F4C" w:rsidP="00AD6F4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28E09042" w14:textId="77777777" w:rsidR="00AD6F4C" w:rsidRPr="003040DC" w:rsidRDefault="00AD6F4C" w:rsidP="008F1E55"/>
        </w:tc>
      </w:tr>
      <w:tr w:rsidR="00AD6F4C" w:rsidRPr="003040DC" w14:paraId="2F63310A" w14:textId="77777777" w:rsidTr="00AE1C8C">
        <w:trPr>
          <w:trHeight w:hRule="exact" w:val="399"/>
        </w:trPr>
        <w:tc>
          <w:tcPr>
            <w:tcW w:w="851" w:type="dxa"/>
            <w:gridSpan w:val="12"/>
          </w:tcPr>
          <w:p w14:paraId="25125D1E" w14:textId="77777777" w:rsidR="00AD6F4C" w:rsidRPr="001F41DF" w:rsidRDefault="00AD6F4C" w:rsidP="008F1E55"/>
        </w:tc>
        <w:tc>
          <w:tcPr>
            <w:tcW w:w="438" w:type="dxa"/>
            <w:gridSpan w:val="3"/>
            <w:shd w:val="clear" w:color="auto" w:fill="auto"/>
          </w:tcPr>
          <w:p w14:paraId="4C8B0B69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3"/>
            <w:shd w:val="clear" w:color="auto" w:fill="auto"/>
          </w:tcPr>
          <w:p w14:paraId="0D4187E0" w14:textId="77777777" w:rsidR="00AE1C8C" w:rsidRPr="001F41DF" w:rsidRDefault="00AE1C8C" w:rsidP="00AE1C8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01.01.2014г.</w:t>
            </w:r>
          </w:p>
          <w:p w14:paraId="26064FDA" w14:textId="77777777" w:rsidR="00AD6F4C" w:rsidRPr="001F41DF" w:rsidRDefault="00AD6F4C" w:rsidP="00AD6F4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5B322FDE" w14:textId="77777777" w:rsidR="00AD6F4C" w:rsidRPr="003040DC" w:rsidRDefault="00AD6F4C" w:rsidP="008F1E55"/>
        </w:tc>
      </w:tr>
      <w:tr w:rsidR="000C53F9" w:rsidRPr="003040DC" w14:paraId="542CEC86" w14:textId="77777777" w:rsidTr="009908A6">
        <w:trPr>
          <w:gridAfter w:val="2"/>
          <w:wAfter w:w="1493" w:type="dxa"/>
          <w:trHeight w:hRule="exact" w:val="22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0B5D1ADD" w14:textId="77777777" w:rsidR="000C53F9" w:rsidRPr="00A6615D" w:rsidRDefault="000C53F9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4"/>
          </w:tcPr>
          <w:p w14:paraId="0DDC35AE" w14:textId="77777777" w:rsidR="000C53F9" w:rsidRPr="001F41DF" w:rsidRDefault="000C53F9" w:rsidP="008F1E55"/>
        </w:tc>
        <w:tc>
          <w:tcPr>
            <w:tcW w:w="9610" w:type="dxa"/>
            <w:gridSpan w:val="10"/>
            <w:vMerge w:val="restart"/>
          </w:tcPr>
          <w:p w14:paraId="5403F9D3" w14:textId="77777777" w:rsidR="000B5838" w:rsidRPr="001F41DF" w:rsidRDefault="000B5838" w:rsidP="000B58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В чем заключается влияние правительственной помощи на финансовую отчетность: </w:t>
            </w:r>
          </w:p>
          <w:p w14:paraId="3793F489" w14:textId="77777777" w:rsidR="000C53F9" w:rsidRPr="001F41DF" w:rsidRDefault="000C53F9" w:rsidP="000C53F9">
            <w:pPr>
              <w:jc w:val="both"/>
            </w:pPr>
          </w:p>
        </w:tc>
        <w:tc>
          <w:tcPr>
            <w:tcW w:w="412" w:type="dxa"/>
            <w:gridSpan w:val="5"/>
          </w:tcPr>
          <w:p w14:paraId="4219004A" w14:textId="77777777" w:rsidR="000C53F9" w:rsidRDefault="000C53F9"/>
        </w:tc>
      </w:tr>
      <w:tr w:rsidR="000C53F9" w:rsidRPr="003040DC" w14:paraId="46502812" w14:textId="77777777" w:rsidTr="00153BA7">
        <w:trPr>
          <w:gridAfter w:val="2"/>
          <w:wAfter w:w="1493" w:type="dxa"/>
          <w:trHeight w:hRule="exact" w:val="83"/>
        </w:trPr>
        <w:tc>
          <w:tcPr>
            <w:tcW w:w="455" w:type="dxa"/>
            <w:gridSpan w:val="8"/>
          </w:tcPr>
          <w:p w14:paraId="5A7AC21F" w14:textId="77777777" w:rsidR="000C53F9" w:rsidRPr="001F41DF" w:rsidRDefault="000C53F9" w:rsidP="008F1E55"/>
        </w:tc>
        <w:tc>
          <w:tcPr>
            <w:tcW w:w="9610" w:type="dxa"/>
            <w:gridSpan w:val="10"/>
            <w:vMerge/>
          </w:tcPr>
          <w:p w14:paraId="3275F940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2E7EBDB" w14:textId="77777777" w:rsidR="000C53F9" w:rsidRDefault="000C53F9"/>
        </w:tc>
      </w:tr>
      <w:tr w:rsidR="000C53F9" w:rsidRPr="003040DC" w14:paraId="0FB54C60" w14:textId="77777777" w:rsidTr="009908A6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0C1E0998" w14:textId="77777777" w:rsidR="000C53F9" w:rsidRPr="001F41DF" w:rsidRDefault="000C53F9" w:rsidP="008F1E55"/>
        </w:tc>
        <w:tc>
          <w:tcPr>
            <w:tcW w:w="9610" w:type="dxa"/>
            <w:gridSpan w:val="10"/>
            <w:vMerge/>
          </w:tcPr>
          <w:p w14:paraId="7762B188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04199C8" w14:textId="77777777" w:rsidR="000C53F9" w:rsidRDefault="000C53F9"/>
        </w:tc>
      </w:tr>
      <w:tr w:rsidR="000C53F9" w:rsidRPr="003040DC" w14:paraId="06477B9C" w14:textId="77777777" w:rsidTr="001F41DF">
        <w:trPr>
          <w:gridAfter w:val="3"/>
          <w:wAfter w:w="1528" w:type="dxa"/>
          <w:trHeight w:hRule="exact" w:val="348"/>
        </w:trPr>
        <w:tc>
          <w:tcPr>
            <w:tcW w:w="851" w:type="dxa"/>
            <w:gridSpan w:val="12"/>
          </w:tcPr>
          <w:p w14:paraId="393FB3A0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5BDAD62B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5570FAD" w14:textId="77777777" w:rsidR="000B5838" w:rsidRPr="001F41DF" w:rsidRDefault="000B5838" w:rsidP="000B58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финансовая отчетность не должна отражать правительственную помощь </w:t>
            </w:r>
          </w:p>
          <w:p w14:paraId="28015ACF" w14:textId="77777777" w:rsidR="000C53F9" w:rsidRPr="001F41DF" w:rsidRDefault="000C53F9" w:rsidP="000C53F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57056D85" w14:textId="77777777" w:rsidR="000C53F9" w:rsidRPr="003040DC" w:rsidRDefault="000C53F9" w:rsidP="008F1E55"/>
        </w:tc>
      </w:tr>
      <w:tr w:rsidR="000C53F9" w:rsidRPr="003040DC" w14:paraId="5FB99C14" w14:textId="77777777" w:rsidTr="001F41DF">
        <w:trPr>
          <w:gridAfter w:val="3"/>
          <w:wAfter w:w="1528" w:type="dxa"/>
          <w:trHeight w:hRule="exact" w:val="281"/>
        </w:trPr>
        <w:tc>
          <w:tcPr>
            <w:tcW w:w="851" w:type="dxa"/>
            <w:gridSpan w:val="12"/>
          </w:tcPr>
          <w:p w14:paraId="7F5DBF8C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4A8A60AF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9ABF91C" w14:textId="77777777" w:rsidR="000B5838" w:rsidRPr="001F41DF" w:rsidRDefault="000B5838" w:rsidP="000B58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финансовая отчетность должна отражать только 10% от общей суммы помощи</w:t>
            </w:r>
          </w:p>
          <w:p w14:paraId="1580715B" w14:textId="77777777" w:rsidR="000C53F9" w:rsidRPr="001F41DF" w:rsidRDefault="000C53F9" w:rsidP="000C53F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7B895CCA" w14:textId="77777777" w:rsidR="000C53F9" w:rsidRPr="003040DC" w:rsidRDefault="000C53F9" w:rsidP="008F1E55"/>
        </w:tc>
      </w:tr>
      <w:tr w:rsidR="000C53F9" w:rsidRPr="003040DC" w14:paraId="3A8833B6" w14:textId="77777777" w:rsidTr="001F41DF">
        <w:trPr>
          <w:gridAfter w:val="3"/>
          <w:wAfter w:w="1528" w:type="dxa"/>
          <w:trHeight w:hRule="exact" w:val="285"/>
        </w:trPr>
        <w:tc>
          <w:tcPr>
            <w:tcW w:w="851" w:type="dxa"/>
            <w:gridSpan w:val="12"/>
          </w:tcPr>
          <w:p w14:paraId="6EA59E47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62B60306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B9EF97B" w14:textId="77777777" w:rsidR="000B5838" w:rsidRPr="001F41DF" w:rsidRDefault="000B5838" w:rsidP="000B58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финансовая отчетность должна отражать 50% от общей суммы помощи</w:t>
            </w:r>
          </w:p>
          <w:p w14:paraId="1CD5F100" w14:textId="77777777" w:rsidR="000C53F9" w:rsidRPr="001F41DF" w:rsidRDefault="000C53F9" w:rsidP="000C53F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568B56A7" w14:textId="77777777" w:rsidR="000C53F9" w:rsidRPr="003040DC" w:rsidRDefault="000C53F9" w:rsidP="008F1E55"/>
        </w:tc>
      </w:tr>
      <w:tr w:rsidR="000C53F9" w:rsidRPr="003040DC" w14:paraId="6BA8788A" w14:textId="77777777" w:rsidTr="001F41DF">
        <w:trPr>
          <w:gridAfter w:val="3"/>
          <w:wAfter w:w="1528" w:type="dxa"/>
          <w:trHeight w:hRule="exact" w:val="431"/>
        </w:trPr>
        <w:tc>
          <w:tcPr>
            <w:tcW w:w="851" w:type="dxa"/>
            <w:gridSpan w:val="12"/>
          </w:tcPr>
          <w:p w14:paraId="1634AE4D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7E0F8A00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52E0D86" w14:textId="77777777" w:rsidR="000B5838" w:rsidRPr="001F41DF" w:rsidRDefault="000B5838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 должна отражать получение правительственной помощи</w:t>
            </w:r>
          </w:p>
          <w:p w14:paraId="42C99A55" w14:textId="77777777" w:rsidR="000C53F9" w:rsidRPr="001F41DF" w:rsidRDefault="000C53F9" w:rsidP="0013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4B3281C0" w14:textId="77777777" w:rsidR="000C53F9" w:rsidRPr="003040DC" w:rsidRDefault="000C53F9" w:rsidP="008F1E55"/>
        </w:tc>
      </w:tr>
      <w:tr w:rsidR="00F27BBF" w:rsidRPr="003040DC" w14:paraId="2C945AA7" w14:textId="77777777" w:rsidTr="00153BA7">
        <w:trPr>
          <w:gridAfter w:val="2"/>
          <w:wAfter w:w="1493" w:type="dxa"/>
          <w:trHeight w:hRule="exact" w:val="80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9254583" w14:textId="77777777" w:rsidR="00F27BBF" w:rsidRPr="00A6615D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5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.</w:t>
            </w:r>
          </w:p>
        </w:tc>
        <w:tc>
          <w:tcPr>
            <w:tcW w:w="97" w:type="dxa"/>
            <w:gridSpan w:val="4"/>
          </w:tcPr>
          <w:p w14:paraId="65E88456" w14:textId="77777777" w:rsidR="00F27BBF" w:rsidRPr="001F41DF" w:rsidRDefault="00F27BBF" w:rsidP="008F1E55"/>
        </w:tc>
        <w:tc>
          <w:tcPr>
            <w:tcW w:w="9610" w:type="dxa"/>
            <w:gridSpan w:val="10"/>
            <w:vMerge w:val="restart"/>
          </w:tcPr>
          <w:p w14:paraId="2429B79A" w14:textId="77777777" w:rsidR="00AE1C8C" w:rsidRPr="001F41DF" w:rsidRDefault="003C16CF" w:rsidP="00AE1C8C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hAnsi="Times New Roman"/>
                <w:b/>
                <w:sz w:val="24"/>
              </w:rPr>
              <w:t xml:space="preserve">5.  </w:t>
            </w:r>
            <w:r w:rsidR="00AE1C8C"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(</w:t>
            </w:r>
            <w:r w:rsidR="00AE1C8C"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="00AE1C8C"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41 применяется для учета сельскохозяйственной продукции:</w:t>
            </w:r>
          </w:p>
          <w:p w14:paraId="6F75590C" w14:textId="77777777" w:rsidR="00F27BBF" w:rsidRPr="001F41DF" w:rsidRDefault="00F27BBF" w:rsidP="007F6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03E613DB" w14:textId="77777777" w:rsidR="00F27BBF" w:rsidRPr="003040DC" w:rsidRDefault="00F27BBF" w:rsidP="008F1E55"/>
        </w:tc>
      </w:tr>
      <w:tr w:rsidR="00F27BBF" w:rsidRPr="003040DC" w14:paraId="18D4F371" w14:textId="77777777" w:rsidTr="00153BA7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526684F2" w14:textId="77777777" w:rsidR="00F27BBF" w:rsidRPr="001F41DF" w:rsidRDefault="00F27BBF" w:rsidP="008F1E55">
            <w:pPr>
              <w:rPr>
                <w:b/>
                <w:sz w:val="24"/>
              </w:rPr>
            </w:pPr>
          </w:p>
        </w:tc>
        <w:tc>
          <w:tcPr>
            <w:tcW w:w="9610" w:type="dxa"/>
            <w:gridSpan w:val="10"/>
            <w:vMerge/>
          </w:tcPr>
          <w:p w14:paraId="42070E4E" w14:textId="77777777" w:rsidR="00F27BBF" w:rsidRPr="001F41DF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3BCB0BC" w14:textId="77777777" w:rsidR="00F27BBF" w:rsidRPr="003040DC" w:rsidRDefault="00F27BBF" w:rsidP="008F1E55">
            <w:r w:rsidRPr="003040DC">
              <w:rPr>
                <w:rFonts w:ascii="Times New Roman" w:hAnsi="Times New Roman"/>
                <w:b/>
                <w:sz w:val="24"/>
              </w:rPr>
              <w:t xml:space="preserve">из приведенных ниже разниц, скорее </w:t>
            </w:r>
            <w:proofErr w:type="gramStart"/>
            <w:r w:rsidRPr="003040DC">
              <w:rPr>
                <w:rFonts w:ascii="Times New Roman" w:hAnsi="Times New Roman"/>
                <w:b/>
                <w:sz w:val="24"/>
              </w:rPr>
              <w:t>всего,  не</w:t>
            </w:r>
            <w:proofErr w:type="gramEnd"/>
            <w:r w:rsidRPr="003040DC">
              <w:rPr>
                <w:rFonts w:ascii="Times New Roman" w:hAnsi="Times New Roman"/>
                <w:b/>
                <w:sz w:val="24"/>
              </w:rPr>
              <w:t xml:space="preserve"> является временной?</w:t>
            </w:r>
          </w:p>
        </w:tc>
      </w:tr>
      <w:tr w:rsidR="00F27BBF" w:rsidRPr="003040DC" w14:paraId="447B0CFD" w14:textId="77777777" w:rsidTr="004939B8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3C8BF30B" w14:textId="77777777" w:rsidR="00F27BBF" w:rsidRPr="001F41DF" w:rsidRDefault="00F27BBF" w:rsidP="008F1E55"/>
        </w:tc>
        <w:tc>
          <w:tcPr>
            <w:tcW w:w="9610" w:type="dxa"/>
            <w:gridSpan w:val="10"/>
            <w:vMerge/>
          </w:tcPr>
          <w:p w14:paraId="5FF7C14A" w14:textId="77777777" w:rsidR="00F27BBF" w:rsidRPr="001F41DF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EBF1AFC" w14:textId="77777777" w:rsidR="00F27BBF" w:rsidRPr="003040DC" w:rsidRDefault="00F27BBF" w:rsidP="008F1E55">
            <w:proofErr w:type="spellStart"/>
            <w:r w:rsidRPr="003040DC">
              <w:rPr>
                <w:rFonts w:ascii="Times New Roman" w:hAnsi="Times New Roman"/>
                <w:b/>
                <w:sz w:val="24"/>
              </w:rPr>
              <w:t>ая</w:t>
            </w:r>
            <w:proofErr w:type="spellEnd"/>
            <w:r w:rsidRPr="003040DC">
              <w:rPr>
                <w:rFonts w:ascii="Times New Roman" w:hAnsi="Times New Roman"/>
                <w:b/>
                <w:sz w:val="24"/>
              </w:rPr>
              <w:t xml:space="preserve"> из приведенных ниже разниц, скорее </w:t>
            </w:r>
            <w:proofErr w:type="gramStart"/>
            <w:r w:rsidRPr="003040DC">
              <w:rPr>
                <w:rFonts w:ascii="Times New Roman" w:hAnsi="Times New Roman"/>
                <w:b/>
                <w:sz w:val="24"/>
              </w:rPr>
              <w:t>всего,  не</w:t>
            </w:r>
            <w:proofErr w:type="gramEnd"/>
            <w:r w:rsidRPr="003040DC">
              <w:rPr>
                <w:rFonts w:ascii="Times New Roman" w:hAnsi="Times New Roman"/>
                <w:b/>
                <w:sz w:val="24"/>
              </w:rPr>
              <w:t xml:space="preserve"> является временной?</w:t>
            </w:r>
          </w:p>
        </w:tc>
      </w:tr>
      <w:tr w:rsidR="00F27BBF" w:rsidRPr="003040DC" w14:paraId="1DC1C7B7" w14:textId="77777777" w:rsidTr="00AE1C8C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3FAE1EC7" w14:textId="77777777" w:rsidR="00F27BBF" w:rsidRPr="001F41DF" w:rsidRDefault="00F27BBF" w:rsidP="008F1E55"/>
        </w:tc>
        <w:tc>
          <w:tcPr>
            <w:tcW w:w="9610" w:type="dxa"/>
            <w:gridSpan w:val="10"/>
            <w:vMerge/>
          </w:tcPr>
          <w:p w14:paraId="15DF7C1B" w14:textId="77777777" w:rsidR="00F27BBF" w:rsidRPr="001F41DF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9A8DA0C" w14:textId="77777777" w:rsidR="00F27BBF" w:rsidRPr="003040DC" w:rsidRDefault="00F27BBF" w:rsidP="008F1E55"/>
        </w:tc>
      </w:tr>
      <w:tr w:rsidR="00192206" w:rsidRPr="003040DC" w14:paraId="4414733F" w14:textId="77777777" w:rsidTr="001F41DF">
        <w:trPr>
          <w:gridAfter w:val="2"/>
          <w:wAfter w:w="1493" w:type="dxa"/>
          <w:trHeight w:hRule="exact" w:val="327"/>
        </w:trPr>
        <w:tc>
          <w:tcPr>
            <w:tcW w:w="851" w:type="dxa"/>
            <w:gridSpan w:val="12"/>
          </w:tcPr>
          <w:p w14:paraId="2E178AA7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582EF3F8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C525FFD" w14:textId="77777777" w:rsidR="00AE1C8C" w:rsidRPr="001F41DF" w:rsidRDefault="00AE1C8C" w:rsidP="00AE1C8C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начала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сбора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1F394028" w14:textId="77777777" w:rsidR="00192206" w:rsidRPr="001F41DF" w:rsidRDefault="00192206" w:rsidP="005E39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25F10CD" w14:textId="77777777" w:rsidR="00192206" w:rsidRPr="003040DC" w:rsidRDefault="00192206" w:rsidP="008F1E55"/>
        </w:tc>
      </w:tr>
      <w:tr w:rsidR="00192206" w:rsidRPr="003040DC" w14:paraId="25F987E0" w14:textId="77777777" w:rsidTr="001F41DF">
        <w:trPr>
          <w:gridAfter w:val="2"/>
          <w:wAfter w:w="1493" w:type="dxa"/>
          <w:trHeight w:hRule="exact" w:val="359"/>
        </w:trPr>
        <w:tc>
          <w:tcPr>
            <w:tcW w:w="851" w:type="dxa"/>
            <w:gridSpan w:val="12"/>
          </w:tcPr>
          <w:p w14:paraId="5F960B94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1A4728D9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6F6DEE1" w14:textId="77777777" w:rsidR="00AE1C8C" w:rsidRPr="001F41DF" w:rsidRDefault="00AE1C8C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Только в момент сбора;  </w:t>
            </w:r>
          </w:p>
          <w:p w14:paraId="37D1339B" w14:textId="77777777" w:rsidR="00192206" w:rsidRPr="001F41DF" w:rsidRDefault="00192206" w:rsidP="005E395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6FB5A14A" w14:textId="77777777" w:rsidR="00192206" w:rsidRPr="003040DC" w:rsidRDefault="00192206" w:rsidP="008F1E55"/>
        </w:tc>
      </w:tr>
      <w:tr w:rsidR="00192206" w:rsidRPr="003040DC" w14:paraId="4F65915A" w14:textId="77777777" w:rsidTr="001F41DF">
        <w:trPr>
          <w:gridAfter w:val="2"/>
          <w:wAfter w:w="1493" w:type="dxa"/>
          <w:trHeight w:hRule="exact" w:val="264"/>
        </w:trPr>
        <w:tc>
          <w:tcPr>
            <w:tcW w:w="851" w:type="dxa"/>
            <w:gridSpan w:val="12"/>
          </w:tcPr>
          <w:p w14:paraId="70DE56BE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1CB2A3F9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0C493F22" w14:textId="77777777" w:rsidR="00AE1C8C" w:rsidRPr="001F41DF" w:rsidRDefault="00AE1C8C" w:rsidP="00AE1C8C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После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окончания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сбора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7107AD40" w14:textId="77777777" w:rsidR="005E3953" w:rsidRPr="001F41DF" w:rsidRDefault="005E3953" w:rsidP="005E3953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  <w:p w14:paraId="4E8E6F67" w14:textId="77777777" w:rsidR="00192206" w:rsidRPr="001F41DF" w:rsidRDefault="00192206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954A5B3" w14:textId="77777777" w:rsidR="00192206" w:rsidRPr="003040DC" w:rsidRDefault="00192206" w:rsidP="008F1E55"/>
        </w:tc>
      </w:tr>
      <w:tr w:rsidR="00192206" w:rsidRPr="003040DC" w14:paraId="6E8C7E26" w14:textId="77777777" w:rsidTr="001F41DF">
        <w:trPr>
          <w:gridAfter w:val="2"/>
          <w:wAfter w:w="1493" w:type="dxa"/>
          <w:trHeight w:hRule="exact" w:val="299"/>
        </w:trPr>
        <w:tc>
          <w:tcPr>
            <w:tcW w:w="851" w:type="dxa"/>
            <w:gridSpan w:val="12"/>
          </w:tcPr>
          <w:p w14:paraId="068614EC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60DD5270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5B06F13" w14:textId="77777777" w:rsidR="00192206" w:rsidRPr="001F41DF" w:rsidRDefault="00AE1C8C" w:rsidP="005E3953">
            <w:r w:rsidRPr="001F41DF">
              <w:rPr>
                <w:rFonts w:ascii="Times New Roman" w:hAnsi="Times New Roman"/>
                <w:sz w:val="24"/>
              </w:rPr>
              <w:t>До начала, в момент и после окончания сбора урожая</w:t>
            </w:r>
            <w:r w:rsidRPr="001F41DF">
              <w:t xml:space="preserve"> </w:t>
            </w:r>
          </w:p>
        </w:tc>
        <w:tc>
          <w:tcPr>
            <w:tcW w:w="412" w:type="dxa"/>
            <w:gridSpan w:val="5"/>
          </w:tcPr>
          <w:p w14:paraId="7CA20450" w14:textId="77777777" w:rsidR="00192206" w:rsidRPr="003040DC" w:rsidRDefault="00192206" w:rsidP="008F1E55"/>
        </w:tc>
      </w:tr>
      <w:tr w:rsidR="001F5E28" w:rsidRPr="003040DC" w14:paraId="1CDD8CBB" w14:textId="77777777" w:rsidTr="00153BA7">
        <w:trPr>
          <w:gridAfter w:val="2"/>
          <w:wAfter w:w="1493" w:type="dxa"/>
          <w:trHeight w:hRule="exact" w:val="205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1ED07935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7" w:type="dxa"/>
            <w:gridSpan w:val="4"/>
          </w:tcPr>
          <w:p w14:paraId="3EC6B468" w14:textId="77777777" w:rsidR="001F5E28" w:rsidRPr="001F41D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6803BE90" w14:textId="77777777" w:rsidR="000B5838" w:rsidRPr="001F41DF" w:rsidRDefault="000B5838" w:rsidP="000B58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Если работник оказывает предприятию услуги в течение учетного периода, предприятие должно:</w:t>
            </w:r>
          </w:p>
          <w:p w14:paraId="72B290C5" w14:textId="77777777" w:rsidR="001F5E28" w:rsidRPr="001F41DF" w:rsidRDefault="001F5E28" w:rsidP="002F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768DC70" w14:textId="77777777" w:rsidR="001F5E28" w:rsidRPr="003040DC" w:rsidRDefault="001F5E28" w:rsidP="008F1E55"/>
        </w:tc>
      </w:tr>
      <w:tr w:rsidR="001F5E28" w:rsidRPr="003040DC" w14:paraId="72DCAAED" w14:textId="77777777" w:rsidTr="00153BA7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7A6CA5D1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3522327F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BF7F771" w14:textId="77777777" w:rsidR="001F5E28" w:rsidRPr="003040DC" w:rsidRDefault="001F5E28" w:rsidP="008F1E55"/>
        </w:tc>
      </w:tr>
      <w:tr w:rsidR="001F5E28" w:rsidRPr="003040DC" w14:paraId="598970FA" w14:textId="77777777" w:rsidTr="00153BA7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16963020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1AC0F001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6C40890" w14:textId="77777777" w:rsidR="001F5E28" w:rsidRPr="003040DC" w:rsidRDefault="001F5E28" w:rsidP="008F1E55"/>
        </w:tc>
      </w:tr>
      <w:tr w:rsidR="001F5E28" w:rsidRPr="003040DC" w14:paraId="43B6D3D7" w14:textId="77777777" w:rsidTr="00E301DC">
        <w:trPr>
          <w:gridAfter w:val="2"/>
          <w:wAfter w:w="1493" w:type="dxa"/>
          <w:trHeight w:hRule="exact" w:val="213"/>
        </w:trPr>
        <w:tc>
          <w:tcPr>
            <w:tcW w:w="455" w:type="dxa"/>
            <w:gridSpan w:val="8"/>
          </w:tcPr>
          <w:p w14:paraId="08BFF99F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47D7F139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24DF4D8" w14:textId="77777777" w:rsidR="001F5E28" w:rsidRPr="003040DC" w:rsidRDefault="001F5E28" w:rsidP="008F1E55"/>
        </w:tc>
      </w:tr>
      <w:tr w:rsidR="00315524" w:rsidRPr="003040DC" w14:paraId="7090EA81" w14:textId="77777777" w:rsidTr="001F41DF">
        <w:trPr>
          <w:gridAfter w:val="1"/>
          <w:wAfter w:w="1445" w:type="dxa"/>
          <w:trHeight w:hRule="exact" w:val="601"/>
        </w:trPr>
        <w:tc>
          <w:tcPr>
            <w:tcW w:w="851" w:type="dxa"/>
            <w:gridSpan w:val="12"/>
          </w:tcPr>
          <w:p w14:paraId="57E9C2FC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3DEA1C42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837" w:type="dxa"/>
            <w:gridSpan w:val="5"/>
            <w:shd w:val="clear" w:color="auto" w:fill="auto"/>
          </w:tcPr>
          <w:p w14:paraId="594ADA3B" w14:textId="77777777" w:rsidR="000B5838" w:rsidRPr="001F41DF" w:rsidRDefault="000B5838" w:rsidP="001F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</w:t>
            </w:r>
            <w:proofErr w:type="spellStart"/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недисконтированную</w:t>
            </w:r>
            <w:proofErr w:type="spellEnd"/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 величину краткосрочных вознаграждений работникам, подлежащую выплате в обмен на эти услуги;</w:t>
            </w:r>
          </w:p>
          <w:p w14:paraId="27A2E380" w14:textId="77777777" w:rsidR="00315524" w:rsidRPr="001F41DF" w:rsidRDefault="00315524" w:rsidP="0031552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EFE65B7" w14:textId="77777777" w:rsidR="00315524" w:rsidRPr="003040DC" w:rsidRDefault="00315524" w:rsidP="008F1E55"/>
        </w:tc>
      </w:tr>
      <w:tr w:rsidR="00315524" w:rsidRPr="003040DC" w14:paraId="56BD48A5" w14:textId="77777777" w:rsidTr="001F41DF">
        <w:trPr>
          <w:gridAfter w:val="1"/>
          <w:wAfter w:w="1445" w:type="dxa"/>
          <w:trHeight w:hRule="exact" w:val="596"/>
        </w:trPr>
        <w:tc>
          <w:tcPr>
            <w:tcW w:w="851" w:type="dxa"/>
            <w:gridSpan w:val="12"/>
          </w:tcPr>
          <w:p w14:paraId="02814C94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35638B07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837" w:type="dxa"/>
            <w:gridSpan w:val="5"/>
            <w:shd w:val="clear" w:color="auto" w:fill="auto"/>
          </w:tcPr>
          <w:p w14:paraId="46D96D67" w14:textId="77777777" w:rsidR="000B5838" w:rsidRPr="001F41DF" w:rsidRDefault="000B5838" w:rsidP="000B5838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признать дисконтированную величину краткосрочных вознаграждений работникам, подлежащую выплате в обмен на эти услуги;</w:t>
            </w:r>
          </w:p>
          <w:p w14:paraId="1E46DB71" w14:textId="77777777" w:rsidR="00315524" w:rsidRPr="001F41DF" w:rsidRDefault="00315524" w:rsidP="0031552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1F5D3B6B" w14:textId="77777777" w:rsidR="00315524" w:rsidRPr="003040DC" w:rsidRDefault="00315524" w:rsidP="008F1E55"/>
        </w:tc>
      </w:tr>
      <w:tr w:rsidR="00315524" w:rsidRPr="003040DC" w14:paraId="45731054" w14:textId="77777777" w:rsidTr="001F41DF">
        <w:trPr>
          <w:gridAfter w:val="1"/>
          <w:wAfter w:w="1445" w:type="dxa"/>
          <w:trHeight w:hRule="exact" w:val="572"/>
        </w:trPr>
        <w:tc>
          <w:tcPr>
            <w:tcW w:w="851" w:type="dxa"/>
            <w:gridSpan w:val="12"/>
          </w:tcPr>
          <w:p w14:paraId="3698B470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1B4F0601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837" w:type="dxa"/>
            <w:gridSpan w:val="5"/>
            <w:shd w:val="clear" w:color="auto" w:fill="auto"/>
          </w:tcPr>
          <w:p w14:paraId="41A61B9F" w14:textId="77777777" w:rsidR="000B5838" w:rsidRPr="001F41DF" w:rsidRDefault="000B5838" w:rsidP="000B5838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не </w:t>
            </w:r>
            <w:proofErr w:type="gramStart"/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признавать  величину</w:t>
            </w:r>
            <w:proofErr w:type="gramEnd"/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краткосрочных вознаграждений работникам, подлежащую выплате в обмен на эти услуги до момента фактической оплаты;</w:t>
            </w:r>
          </w:p>
          <w:p w14:paraId="1C7E72A3" w14:textId="77777777" w:rsidR="00315524" w:rsidRPr="001F41DF" w:rsidRDefault="00315524" w:rsidP="0031552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3A00A2D1" w14:textId="77777777" w:rsidR="00315524" w:rsidRPr="003040DC" w:rsidRDefault="00315524" w:rsidP="008F1E55"/>
        </w:tc>
      </w:tr>
      <w:tr w:rsidR="00315524" w:rsidRPr="003040DC" w14:paraId="61FFAE2A" w14:textId="77777777" w:rsidTr="001F41DF">
        <w:trPr>
          <w:gridAfter w:val="1"/>
          <w:wAfter w:w="1445" w:type="dxa"/>
          <w:trHeight w:hRule="exact" w:val="401"/>
        </w:trPr>
        <w:tc>
          <w:tcPr>
            <w:tcW w:w="851" w:type="dxa"/>
            <w:gridSpan w:val="12"/>
          </w:tcPr>
          <w:p w14:paraId="6A464FA3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266A1A5A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837" w:type="dxa"/>
            <w:gridSpan w:val="5"/>
            <w:shd w:val="clear" w:color="auto" w:fill="auto"/>
          </w:tcPr>
          <w:p w14:paraId="4F81A505" w14:textId="77777777" w:rsidR="000B5838" w:rsidRPr="001F41DF" w:rsidRDefault="000B5838" w:rsidP="000B5838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признать оценочную величину краткосрочных вознаграждений работникам</w:t>
            </w:r>
          </w:p>
          <w:p w14:paraId="3BA47EBE" w14:textId="77777777" w:rsidR="00315524" w:rsidRPr="001F41DF" w:rsidRDefault="00315524" w:rsidP="0013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09F1544" w14:textId="77777777" w:rsidR="00315524" w:rsidRPr="003040DC" w:rsidRDefault="00315524" w:rsidP="008F1E55"/>
        </w:tc>
      </w:tr>
      <w:tr w:rsidR="001F5E28" w:rsidRPr="003040DC" w14:paraId="3038FE3A" w14:textId="77777777" w:rsidTr="00153BA7">
        <w:trPr>
          <w:gridAfter w:val="2"/>
          <w:wAfter w:w="1493" w:type="dxa"/>
          <w:trHeight w:hRule="exact" w:val="287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8C960A5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4" w:type="dxa"/>
            <w:gridSpan w:val="5"/>
          </w:tcPr>
          <w:p w14:paraId="508D562F" w14:textId="77777777" w:rsidR="001F5E28" w:rsidRPr="001F41DF" w:rsidRDefault="001F5E28" w:rsidP="008F1E55"/>
        </w:tc>
        <w:tc>
          <w:tcPr>
            <w:tcW w:w="9603" w:type="dxa"/>
            <w:gridSpan w:val="9"/>
            <w:vMerge w:val="restart"/>
          </w:tcPr>
          <w:p w14:paraId="59302469" w14:textId="77777777" w:rsidR="000B5838" w:rsidRPr="001F41DF" w:rsidRDefault="000B5838" w:rsidP="000B5838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Какая из приведенных ниже разниц, скорее </w:t>
            </w:r>
            <w:proofErr w:type="gram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всего,  не</w:t>
            </w:r>
            <w:proofErr w:type="gram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является временной?</w:t>
            </w:r>
          </w:p>
          <w:p w14:paraId="26F1BA18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27CFE6A" w14:textId="77777777" w:rsidR="001F5E28" w:rsidRPr="003040DC" w:rsidRDefault="001F5E28" w:rsidP="008F1E55"/>
        </w:tc>
      </w:tr>
      <w:tr w:rsidR="001F5E28" w:rsidRPr="003040DC" w14:paraId="51E2C310" w14:textId="77777777" w:rsidTr="00E128AF">
        <w:trPr>
          <w:gridAfter w:val="2"/>
          <w:wAfter w:w="1493" w:type="dxa"/>
          <w:trHeight w:hRule="exact" w:val="80"/>
        </w:trPr>
        <w:tc>
          <w:tcPr>
            <w:tcW w:w="462" w:type="dxa"/>
            <w:gridSpan w:val="9"/>
          </w:tcPr>
          <w:p w14:paraId="157DC91F" w14:textId="77777777" w:rsidR="001F5E28" w:rsidRPr="001F41DF" w:rsidRDefault="001F5E28" w:rsidP="008F1E55"/>
        </w:tc>
        <w:tc>
          <w:tcPr>
            <w:tcW w:w="9603" w:type="dxa"/>
            <w:gridSpan w:val="9"/>
            <w:vMerge/>
          </w:tcPr>
          <w:p w14:paraId="159959C5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7159430" w14:textId="77777777" w:rsidR="001F5E28" w:rsidRPr="003040DC" w:rsidRDefault="001F5E28" w:rsidP="008F1E55"/>
        </w:tc>
      </w:tr>
      <w:tr w:rsidR="000C53F9" w:rsidRPr="003040DC" w14:paraId="590F9D00" w14:textId="77777777" w:rsidTr="000B5838">
        <w:trPr>
          <w:gridAfter w:val="2"/>
          <w:wAfter w:w="1493" w:type="dxa"/>
          <w:trHeight w:hRule="exact" w:val="336"/>
        </w:trPr>
        <w:tc>
          <w:tcPr>
            <w:tcW w:w="851" w:type="dxa"/>
            <w:gridSpan w:val="12"/>
          </w:tcPr>
          <w:p w14:paraId="03621D8D" w14:textId="77777777" w:rsidR="000C53F9" w:rsidRPr="001F41DF" w:rsidRDefault="000C53F9" w:rsidP="008F1E55"/>
        </w:tc>
        <w:tc>
          <w:tcPr>
            <w:tcW w:w="283" w:type="dxa"/>
            <w:shd w:val="clear" w:color="auto" w:fill="auto"/>
          </w:tcPr>
          <w:p w14:paraId="66144A71" w14:textId="77777777" w:rsidR="000C53F9" w:rsidRPr="001F41DF" w:rsidRDefault="000C53F9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3378AEF0" w14:textId="77777777" w:rsidR="000B5838" w:rsidRPr="001F41DF" w:rsidRDefault="000B5838" w:rsidP="000B583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амортизационные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отчисления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37DBF784" w14:textId="77777777" w:rsidR="000C53F9" w:rsidRPr="001F41DF" w:rsidRDefault="000C53F9" w:rsidP="000C53F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0CB363FD" w14:textId="77777777" w:rsidR="000C53F9" w:rsidRPr="003040DC" w:rsidRDefault="000C53F9" w:rsidP="008F1E55"/>
        </w:tc>
      </w:tr>
      <w:tr w:rsidR="000C53F9" w:rsidRPr="003040DC" w14:paraId="3AF0B191" w14:textId="77777777" w:rsidTr="000B5838">
        <w:trPr>
          <w:gridAfter w:val="2"/>
          <w:wAfter w:w="1493" w:type="dxa"/>
          <w:trHeight w:hRule="exact" w:val="298"/>
        </w:trPr>
        <w:tc>
          <w:tcPr>
            <w:tcW w:w="851" w:type="dxa"/>
            <w:gridSpan w:val="12"/>
          </w:tcPr>
          <w:p w14:paraId="4706FCC4" w14:textId="77777777" w:rsidR="000C53F9" w:rsidRPr="001F41DF" w:rsidRDefault="000C53F9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721BB707" w14:textId="77777777" w:rsidR="000C53F9" w:rsidRPr="001F41DF" w:rsidRDefault="000C53F9" w:rsidP="00304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2C4980DA" w14:textId="77777777" w:rsidR="000B5838" w:rsidRPr="001F41DF" w:rsidRDefault="000B5838" w:rsidP="000B5838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налогам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1AE10809" w14:textId="77777777" w:rsidR="000C53F9" w:rsidRPr="001F41DF" w:rsidRDefault="000C53F9" w:rsidP="000C53F9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45FDF6C5" w14:textId="77777777" w:rsidR="000C53F9" w:rsidRPr="003040DC" w:rsidRDefault="000C53F9" w:rsidP="008F1E55"/>
        </w:tc>
      </w:tr>
      <w:tr w:rsidR="004939B8" w:rsidRPr="003040DC" w14:paraId="57736EFF" w14:textId="77777777" w:rsidTr="000B5838">
        <w:trPr>
          <w:gridAfter w:val="2"/>
          <w:wAfter w:w="1493" w:type="dxa"/>
          <w:trHeight w:hRule="exact" w:val="273"/>
        </w:trPr>
        <w:tc>
          <w:tcPr>
            <w:tcW w:w="851" w:type="dxa"/>
            <w:gridSpan w:val="12"/>
          </w:tcPr>
          <w:p w14:paraId="3ED8E4E3" w14:textId="77777777" w:rsidR="004939B8" w:rsidRPr="001F41DF" w:rsidRDefault="004939B8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1D1B0CF" w14:textId="77777777" w:rsidR="004939B8" w:rsidRPr="001F41DF" w:rsidRDefault="004939B8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0478AE99" w14:textId="77777777" w:rsidR="000B5838" w:rsidRPr="001F41DF" w:rsidRDefault="000B5838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штрафы и пени, уплачиваемые в бюджет;</w:t>
            </w:r>
          </w:p>
          <w:p w14:paraId="24CEDC4E" w14:textId="77777777" w:rsidR="004939B8" w:rsidRPr="001F41DF" w:rsidRDefault="004939B8" w:rsidP="004939B8">
            <w:pPr>
              <w:jc w:val="both"/>
            </w:pPr>
          </w:p>
        </w:tc>
        <w:tc>
          <w:tcPr>
            <w:tcW w:w="412" w:type="dxa"/>
            <w:gridSpan w:val="5"/>
          </w:tcPr>
          <w:p w14:paraId="2EE66312" w14:textId="77777777" w:rsidR="004939B8" w:rsidRDefault="004939B8"/>
        </w:tc>
      </w:tr>
      <w:tr w:rsidR="000C53F9" w:rsidRPr="003040DC" w14:paraId="08DB0DE4" w14:textId="77777777" w:rsidTr="00AE1C8C">
        <w:trPr>
          <w:gridAfter w:val="2"/>
          <w:wAfter w:w="1493" w:type="dxa"/>
          <w:trHeight w:hRule="exact" w:val="1276"/>
        </w:trPr>
        <w:tc>
          <w:tcPr>
            <w:tcW w:w="851" w:type="dxa"/>
            <w:gridSpan w:val="12"/>
          </w:tcPr>
          <w:p w14:paraId="02761517" w14:textId="77777777" w:rsidR="000C53F9" w:rsidRPr="001F41DF" w:rsidRDefault="000C53F9" w:rsidP="008F1E55"/>
        </w:tc>
        <w:tc>
          <w:tcPr>
            <w:tcW w:w="283" w:type="dxa"/>
            <w:shd w:val="clear" w:color="auto" w:fill="auto"/>
          </w:tcPr>
          <w:p w14:paraId="0713CEC7" w14:textId="77777777" w:rsidR="000C53F9" w:rsidRPr="001F41DF" w:rsidRDefault="000C53F9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1DF05D59" w14:textId="77777777" w:rsidR="000B5838" w:rsidRPr="001F41DF" w:rsidRDefault="000B5838" w:rsidP="000B5838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безнадежным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долгам</w:t>
            </w:r>
            <w:proofErr w:type="spellEnd"/>
          </w:p>
          <w:p w14:paraId="2939DA85" w14:textId="77777777" w:rsidR="000C53F9" w:rsidRPr="001F41DF" w:rsidRDefault="000C53F9" w:rsidP="00E128AF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B80D794" w14:textId="77777777" w:rsidR="000C53F9" w:rsidRPr="003040DC" w:rsidRDefault="000C53F9" w:rsidP="008F1E55"/>
        </w:tc>
      </w:tr>
      <w:tr w:rsidR="001F5E28" w:rsidRPr="003040DC" w14:paraId="659AF6C6" w14:textId="77777777" w:rsidTr="00AE1C8C">
        <w:trPr>
          <w:gridAfter w:val="2"/>
          <w:wAfter w:w="1493" w:type="dxa"/>
          <w:trHeight w:hRule="exact" w:val="274"/>
        </w:trPr>
        <w:tc>
          <w:tcPr>
            <w:tcW w:w="406" w:type="dxa"/>
            <w:gridSpan w:val="6"/>
            <w:shd w:val="clear" w:color="auto" w:fill="auto"/>
            <w:vAlign w:val="center"/>
          </w:tcPr>
          <w:p w14:paraId="56B099BD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" w:type="dxa"/>
          </w:tcPr>
          <w:p w14:paraId="5006C8CE" w14:textId="77777777" w:rsidR="001F5E28" w:rsidRPr="00A6615D" w:rsidRDefault="001F5E28" w:rsidP="008F1E55"/>
        </w:tc>
        <w:tc>
          <w:tcPr>
            <w:tcW w:w="9639" w:type="dxa"/>
            <w:gridSpan w:val="11"/>
            <w:vMerge w:val="restart"/>
          </w:tcPr>
          <w:p w14:paraId="2F52609A" w14:textId="77777777" w:rsidR="00F84F9C" w:rsidRPr="001F41DF" w:rsidRDefault="00F84F9C" w:rsidP="00F84F9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Компании «АВС» принадлежит 5 800 голосующих акции компании «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Тамыз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 что составляет 10% от количества акции. Чистая прибыль компании «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Тамыз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 составила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br/>
              <w:t>98 000 тыс. тенге, компания объявила дивиденды в размере 75% от чистой прибыли. Какую сумму инвестиционного дохода отразит компания «АВС» в своей финансовой отчетности.</w:t>
            </w:r>
          </w:p>
          <w:p w14:paraId="0650BEA7" w14:textId="77777777" w:rsidR="001F5E28" w:rsidRPr="001F41DF" w:rsidRDefault="001F5E28" w:rsidP="0095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2AEC3D0" w14:textId="77777777" w:rsidR="001F5E28" w:rsidRPr="003040DC" w:rsidRDefault="001F5E28" w:rsidP="008F1E55"/>
        </w:tc>
      </w:tr>
      <w:tr w:rsidR="001F5E28" w:rsidRPr="003040DC" w14:paraId="67F7D1AC" w14:textId="77777777" w:rsidTr="00F84F9C">
        <w:trPr>
          <w:gridAfter w:val="2"/>
          <w:wAfter w:w="1493" w:type="dxa"/>
          <w:trHeight w:hRule="exact" w:val="1112"/>
        </w:trPr>
        <w:tc>
          <w:tcPr>
            <w:tcW w:w="426" w:type="dxa"/>
            <w:gridSpan w:val="7"/>
          </w:tcPr>
          <w:p w14:paraId="04F9FF92" w14:textId="77777777" w:rsidR="001F5E28" w:rsidRPr="00A6615D" w:rsidRDefault="001F5E28" w:rsidP="008F1E55"/>
        </w:tc>
        <w:tc>
          <w:tcPr>
            <w:tcW w:w="9639" w:type="dxa"/>
            <w:gridSpan w:val="11"/>
            <w:vMerge/>
          </w:tcPr>
          <w:p w14:paraId="05CE3E43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43748FC" w14:textId="77777777" w:rsidR="001F5E28" w:rsidRPr="003040DC" w:rsidRDefault="001F5E28" w:rsidP="008F1E55"/>
        </w:tc>
      </w:tr>
      <w:tr w:rsidR="00315524" w:rsidRPr="003040DC" w14:paraId="6D1FD83E" w14:textId="77777777" w:rsidTr="001F41DF">
        <w:trPr>
          <w:gridAfter w:val="2"/>
          <w:wAfter w:w="1493" w:type="dxa"/>
          <w:trHeight w:hRule="exact" w:val="279"/>
        </w:trPr>
        <w:tc>
          <w:tcPr>
            <w:tcW w:w="851" w:type="dxa"/>
            <w:gridSpan w:val="12"/>
          </w:tcPr>
          <w:p w14:paraId="2933A36E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3D1174AC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1B5CFC9" w14:textId="77777777" w:rsidR="00F84F9C" w:rsidRPr="001F41DF" w:rsidRDefault="00F84F9C" w:rsidP="00F84F9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5 175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тыс.тг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16F1420A" w14:textId="77777777" w:rsidR="00315524" w:rsidRPr="001F41DF" w:rsidRDefault="00315524" w:rsidP="005E3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07F4250" w14:textId="77777777" w:rsidR="00315524" w:rsidRPr="003040DC" w:rsidRDefault="00315524" w:rsidP="008F1E55"/>
        </w:tc>
      </w:tr>
      <w:tr w:rsidR="00315524" w:rsidRPr="003040DC" w14:paraId="1C9548DF" w14:textId="77777777" w:rsidTr="001F41DF">
        <w:trPr>
          <w:gridAfter w:val="2"/>
          <w:wAfter w:w="1493" w:type="dxa"/>
          <w:trHeight w:hRule="exact" w:val="567"/>
        </w:trPr>
        <w:tc>
          <w:tcPr>
            <w:tcW w:w="851" w:type="dxa"/>
            <w:gridSpan w:val="12"/>
          </w:tcPr>
          <w:p w14:paraId="79B7B2EA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1757A688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189C7C10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6501E52" w14:textId="77777777" w:rsidR="00F84F9C" w:rsidRPr="001F41DF" w:rsidRDefault="00F84F9C" w:rsidP="00F84F9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6 900 </w:t>
            </w:r>
            <w:proofErr w:type="spellStart"/>
            <w:proofErr w:type="gramStart"/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тыс.тг</w:t>
            </w:r>
            <w:proofErr w:type="spellEnd"/>
            <w:proofErr w:type="gramEnd"/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0AA80596" w14:textId="77777777" w:rsidR="00F84F9C" w:rsidRPr="001F41DF" w:rsidRDefault="00F84F9C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7 350 </w:t>
            </w:r>
            <w:proofErr w:type="spellStart"/>
            <w:proofErr w:type="gramStart"/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  <w:proofErr w:type="gramEnd"/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EAFE24" w14:textId="77777777" w:rsidR="00315524" w:rsidRPr="001F41DF" w:rsidRDefault="00315524" w:rsidP="00315524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5424A330" w14:textId="77777777" w:rsidR="00315524" w:rsidRPr="003040DC" w:rsidRDefault="00315524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524" w:rsidRPr="003040DC" w14:paraId="0E453EC6" w14:textId="77777777" w:rsidTr="001F41DF">
        <w:trPr>
          <w:gridAfter w:val="2"/>
          <w:wAfter w:w="1493" w:type="dxa"/>
          <w:trHeight w:hRule="exact" w:val="292"/>
        </w:trPr>
        <w:tc>
          <w:tcPr>
            <w:tcW w:w="851" w:type="dxa"/>
            <w:gridSpan w:val="12"/>
          </w:tcPr>
          <w:p w14:paraId="26196416" w14:textId="77777777" w:rsidR="00315524" w:rsidRPr="001F41DF" w:rsidRDefault="00315524" w:rsidP="008F1E55"/>
        </w:tc>
        <w:tc>
          <w:tcPr>
            <w:tcW w:w="425" w:type="dxa"/>
            <w:gridSpan w:val="2"/>
            <w:shd w:val="clear" w:color="auto" w:fill="auto"/>
          </w:tcPr>
          <w:p w14:paraId="37216800" w14:textId="77777777" w:rsidR="00315524" w:rsidRPr="001F41DF" w:rsidRDefault="0031552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79F90D5" w14:textId="77777777" w:rsidR="00F84F9C" w:rsidRPr="001F41DF" w:rsidRDefault="00F84F9C" w:rsidP="00F84F9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9 800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тыс.тг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5F840422" w14:textId="77777777" w:rsidR="00315524" w:rsidRPr="001F41DF" w:rsidRDefault="00315524" w:rsidP="00315524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669F7480" w14:textId="77777777" w:rsidR="00315524" w:rsidRDefault="00315524"/>
        </w:tc>
      </w:tr>
      <w:tr w:rsidR="001F5E28" w:rsidRPr="003040DC" w14:paraId="67C1929B" w14:textId="77777777" w:rsidTr="00153BA7">
        <w:trPr>
          <w:gridAfter w:val="2"/>
          <w:wAfter w:w="1493" w:type="dxa"/>
          <w:trHeight w:hRule="exact" w:val="20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1185F777" w14:textId="77777777" w:rsidR="001F5E28" w:rsidRPr="00A6615D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14:paraId="5B735949" w14:textId="77777777" w:rsidR="001F5E28" w:rsidRPr="00A6615D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3"/>
            <w:vMerge w:val="restart"/>
          </w:tcPr>
          <w:p w14:paraId="7335232D" w14:textId="77777777" w:rsidR="00FD69F5" w:rsidRPr="001F41DF" w:rsidRDefault="00FD69F5" w:rsidP="00FD69F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Какие затраты исключаются из себестоимости запасов и признаются в качестве расходов в периоде их возникновения:</w:t>
            </w:r>
          </w:p>
          <w:p w14:paraId="5893777F" w14:textId="77777777" w:rsidR="001F5E28" w:rsidRPr="001F41DF" w:rsidRDefault="001F5E28" w:rsidP="000C53F9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12" w:type="dxa"/>
            <w:gridSpan w:val="5"/>
          </w:tcPr>
          <w:p w14:paraId="2C5C309C" w14:textId="77777777" w:rsidR="001F5E28" w:rsidRPr="003040DC" w:rsidRDefault="001F5E28" w:rsidP="00C3498D"/>
        </w:tc>
      </w:tr>
      <w:tr w:rsidR="001F5E28" w:rsidRPr="003040DC" w14:paraId="587ED9F0" w14:textId="77777777" w:rsidTr="00153BA7">
        <w:trPr>
          <w:gridAfter w:val="2"/>
          <w:wAfter w:w="1493" w:type="dxa"/>
          <w:trHeight w:hRule="exact" w:val="80"/>
        </w:trPr>
        <w:tc>
          <w:tcPr>
            <w:tcW w:w="379" w:type="dxa"/>
            <w:gridSpan w:val="5"/>
          </w:tcPr>
          <w:p w14:paraId="08223E85" w14:textId="77777777" w:rsidR="001F5E28" w:rsidRPr="00A6615D" w:rsidRDefault="001F5E28" w:rsidP="00EA365E"/>
        </w:tc>
        <w:tc>
          <w:tcPr>
            <w:tcW w:w="9686" w:type="dxa"/>
            <w:gridSpan w:val="13"/>
            <w:vMerge/>
          </w:tcPr>
          <w:p w14:paraId="24C5319C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C0CF77A" w14:textId="77777777" w:rsidR="001F5E28" w:rsidRPr="003040DC" w:rsidRDefault="001F5E28" w:rsidP="00C3498D"/>
        </w:tc>
      </w:tr>
      <w:tr w:rsidR="001F5E28" w:rsidRPr="003040DC" w14:paraId="5F7E2F4D" w14:textId="77777777" w:rsidTr="00153BA7">
        <w:trPr>
          <w:gridAfter w:val="2"/>
          <w:wAfter w:w="1493" w:type="dxa"/>
          <w:trHeight w:hRule="exact" w:val="80"/>
        </w:trPr>
        <w:tc>
          <w:tcPr>
            <w:tcW w:w="379" w:type="dxa"/>
            <w:gridSpan w:val="5"/>
          </w:tcPr>
          <w:p w14:paraId="157BA521" w14:textId="77777777" w:rsidR="001F5E28" w:rsidRPr="00A6615D" w:rsidRDefault="001F5E28" w:rsidP="00EA365E"/>
        </w:tc>
        <w:tc>
          <w:tcPr>
            <w:tcW w:w="9686" w:type="dxa"/>
            <w:gridSpan w:val="13"/>
            <w:vMerge/>
          </w:tcPr>
          <w:p w14:paraId="437AADC4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4691CAE" w14:textId="77777777" w:rsidR="001F5E28" w:rsidRPr="003040DC" w:rsidRDefault="001F5E28" w:rsidP="00C3498D"/>
        </w:tc>
      </w:tr>
      <w:tr w:rsidR="001F5E28" w:rsidRPr="003040DC" w14:paraId="6314D9E7" w14:textId="77777777" w:rsidTr="00E301DC">
        <w:trPr>
          <w:gridAfter w:val="2"/>
          <w:wAfter w:w="1493" w:type="dxa"/>
          <w:trHeight w:hRule="exact" w:val="194"/>
        </w:trPr>
        <w:tc>
          <w:tcPr>
            <w:tcW w:w="379" w:type="dxa"/>
            <w:gridSpan w:val="5"/>
          </w:tcPr>
          <w:p w14:paraId="06E992FD" w14:textId="77777777" w:rsidR="001F5E28" w:rsidRPr="00A6615D" w:rsidRDefault="001F5E28" w:rsidP="00EA365E"/>
        </w:tc>
        <w:tc>
          <w:tcPr>
            <w:tcW w:w="9686" w:type="dxa"/>
            <w:gridSpan w:val="13"/>
            <w:vMerge/>
          </w:tcPr>
          <w:p w14:paraId="49B8AA9C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C75ED13" w14:textId="77777777" w:rsidR="001F5E28" w:rsidRPr="003040DC" w:rsidRDefault="001F5E28" w:rsidP="00C3498D"/>
        </w:tc>
      </w:tr>
      <w:tr w:rsidR="000C53F9" w:rsidRPr="003040DC" w14:paraId="5E6D2B11" w14:textId="77777777" w:rsidTr="001F41DF">
        <w:trPr>
          <w:gridAfter w:val="3"/>
          <w:wAfter w:w="1528" w:type="dxa"/>
          <w:trHeight w:hRule="exact" w:val="266"/>
        </w:trPr>
        <w:tc>
          <w:tcPr>
            <w:tcW w:w="851" w:type="dxa"/>
            <w:gridSpan w:val="12"/>
          </w:tcPr>
          <w:p w14:paraId="31F85141" w14:textId="77777777" w:rsidR="000C53F9" w:rsidRPr="001F41DF" w:rsidRDefault="000C53F9" w:rsidP="00C3498D"/>
        </w:tc>
        <w:tc>
          <w:tcPr>
            <w:tcW w:w="425" w:type="dxa"/>
            <w:gridSpan w:val="2"/>
            <w:shd w:val="clear" w:color="auto" w:fill="auto"/>
          </w:tcPr>
          <w:p w14:paraId="1E51F864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9B2DCA2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Нормативные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потери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сырья</w:t>
            </w:r>
            <w:proofErr w:type="spellEnd"/>
          </w:p>
          <w:p w14:paraId="6DC7178D" w14:textId="77777777" w:rsidR="000C53F9" w:rsidRPr="001F41DF" w:rsidRDefault="000C53F9" w:rsidP="000C53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09DF8139" w14:textId="77777777" w:rsidR="000C53F9" w:rsidRPr="003040DC" w:rsidRDefault="000C53F9"/>
        </w:tc>
      </w:tr>
      <w:tr w:rsidR="000C53F9" w:rsidRPr="003040DC" w14:paraId="0B2B00BC" w14:textId="77777777" w:rsidTr="001F41DF">
        <w:trPr>
          <w:gridAfter w:val="3"/>
          <w:wAfter w:w="1528" w:type="dxa"/>
          <w:trHeight w:hRule="exact" w:val="272"/>
        </w:trPr>
        <w:tc>
          <w:tcPr>
            <w:tcW w:w="851" w:type="dxa"/>
            <w:gridSpan w:val="12"/>
          </w:tcPr>
          <w:p w14:paraId="1D1A1055" w14:textId="77777777" w:rsidR="000C53F9" w:rsidRPr="001F41DF" w:rsidRDefault="000C53F9" w:rsidP="00C3498D"/>
        </w:tc>
        <w:tc>
          <w:tcPr>
            <w:tcW w:w="425" w:type="dxa"/>
            <w:gridSpan w:val="2"/>
            <w:shd w:val="clear" w:color="auto" w:fill="auto"/>
          </w:tcPr>
          <w:p w14:paraId="0BF1489A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27AE681" w14:textId="77777777" w:rsidR="00FD69F5" w:rsidRPr="001F41DF" w:rsidRDefault="00FD69F5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Затраты по сбыту</w:t>
            </w:r>
          </w:p>
          <w:p w14:paraId="7FE9C34B" w14:textId="77777777" w:rsidR="000C53F9" w:rsidRPr="001F41DF" w:rsidRDefault="000C53F9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45F60BAF" w14:textId="77777777" w:rsidR="000C53F9" w:rsidRPr="003040DC" w:rsidRDefault="000C53F9" w:rsidP="008F1E55"/>
        </w:tc>
      </w:tr>
      <w:tr w:rsidR="000C53F9" w:rsidRPr="003040DC" w14:paraId="53EED025" w14:textId="77777777" w:rsidTr="001F41DF">
        <w:trPr>
          <w:gridAfter w:val="3"/>
          <w:wAfter w:w="1528" w:type="dxa"/>
          <w:trHeight w:hRule="exact" w:val="289"/>
        </w:trPr>
        <w:tc>
          <w:tcPr>
            <w:tcW w:w="851" w:type="dxa"/>
            <w:gridSpan w:val="12"/>
          </w:tcPr>
          <w:p w14:paraId="0BC7DCB4" w14:textId="77777777" w:rsidR="000C53F9" w:rsidRPr="001F41DF" w:rsidRDefault="000C53F9" w:rsidP="00C3498D"/>
        </w:tc>
        <w:tc>
          <w:tcPr>
            <w:tcW w:w="425" w:type="dxa"/>
            <w:gridSpan w:val="2"/>
            <w:shd w:val="clear" w:color="auto" w:fill="auto"/>
          </w:tcPr>
          <w:p w14:paraId="0D6AA5E8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4F6B77D1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Производственные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накладные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</w:p>
          <w:p w14:paraId="68E07227" w14:textId="77777777" w:rsidR="000C53F9" w:rsidRPr="001F41DF" w:rsidRDefault="000C53F9" w:rsidP="000C53F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05882B39" w14:textId="77777777" w:rsidR="000C53F9" w:rsidRPr="003040DC" w:rsidRDefault="000C53F9" w:rsidP="008F1E55"/>
        </w:tc>
      </w:tr>
      <w:tr w:rsidR="000C53F9" w:rsidRPr="003040DC" w14:paraId="272D36F6" w14:textId="77777777" w:rsidTr="001F41DF">
        <w:trPr>
          <w:gridAfter w:val="3"/>
          <w:wAfter w:w="1528" w:type="dxa"/>
          <w:trHeight w:hRule="exact" w:val="590"/>
        </w:trPr>
        <w:tc>
          <w:tcPr>
            <w:tcW w:w="851" w:type="dxa"/>
            <w:gridSpan w:val="12"/>
          </w:tcPr>
          <w:p w14:paraId="0BB3FC41" w14:textId="77777777" w:rsidR="000C53F9" w:rsidRPr="001F41DF" w:rsidRDefault="000C53F9" w:rsidP="00C3498D"/>
        </w:tc>
        <w:tc>
          <w:tcPr>
            <w:tcW w:w="425" w:type="dxa"/>
            <w:gridSpan w:val="2"/>
            <w:shd w:val="clear" w:color="auto" w:fill="auto"/>
          </w:tcPr>
          <w:p w14:paraId="12E0F0CE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A82C23C" w14:textId="77777777" w:rsidR="00FD69F5" w:rsidRPr="001F41DF" w:rsidRDefault="00FD69F5" w:rsidP="00FD69F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Затраты на хранение, необходимые в производственном процессе для перехода к следующему его этапу</w:t>
            </w:r>
          </w:p>
          <w:p w14:paraId="656268DD" w14:textId="77777777" w:rsidR="000C53F9" w:rsidRPr="001F41DF" w:rsidRDefault="000C53F9" w:rsidP="004939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0B5DC3CD" w14:textId="77777777" w:rsidR="000C53F9" w:rsidRPr="003040DC" w:rsidRDefault="000C53F9" w:rsidP="008F1E55"/>
        </w:tc>
      </w:tr>
      <w:tr w:rsidR="001F5E28" w:rsidRPr="003040DC" w14:paraId="53AD9303" w14:textId="77777777" w:rsidTr="00153BA7">
        <w:trPr>
          <w:gridAfter w:val="2"/>
          <w:wAfter w:w="1493" w:type="dxa"/>
          <w:trHeight w:hRule="exact" w:val="284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0CA24AA5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4"/>
          </w:tcPr>
          <w:p w14:paraId="49165629" w14:textId="77777777" w:rsidR="001F5E28" w:rsidRPr="001F41DF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78F441E7" w14:textId="77777777" w:rsidR="001F5E28" w:rsidRPr="001F41DF" w:rsidRDefault="00F84F9C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DF">
              <w:rPr>
                <w:rFonts w:ascii="Times New Roman" w:hAnsi="Times New Roman"/>
                <w:b/>
                <w:sz w:val="24"/>
                <w:szCs w:val="24"/>
              </w:rPr>
              <w:t>Согласно МСФО (IAS) 34 «Промежуточная финансовая отчетность», промежуточный финансовый отчет:</w:t>
            </w:r>
          </w:p>
        </w:tc>
        <w:tc>
          <w:tcPr>
            <w:tcW w:w="412" w:type="dxa"/>
            <w:gridSpan w:val="5"/>
          </w:tcPr>
          <w:p w14:paraId="4D91210B" w14:textId="77777777" w:rsidR="001F5E28" w:rsidRPr="003040DC" w:rsidRDefault="001F5E28" w:rsidP="008F1E55"/>
        </w:tc>
      </w:tr>
      <w:tr w:rsidR="001F5E28" w:rsidRPr="003040DC" w14:paraId="7DEA58A1" w14:textId="77777777" w:rsidTr="00F84F9C">
        <w:trPr>
          <w:gridAfter w:val="2"/>
          <w:wAfter w:w="1493" w:type="dxa"/>
          <w:trHeight w:hRule="exact" w:val="283"/>
        </w:trPr>
        <w:tc>
          <w:tcPr>
            <w:tcW w:w="455" w:type="dxa"/>
            <w:gridSpan w:val="8"/>
          </w:tcPr>
          <w:p w14:paraId="44EDC922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7149FE88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EB697CD" w14:textId="77777777" w:rsidR="001F5E28" w:rsidRPr="003040DC" w:rsidRDefault="001F5E28" w:rsidP="008F1E55"/>
        </w:tc>
      </w:tr>
      <w:tr w:rsidR="00AD6F4C" w:rsidRPr="003040DC" w14:paraId="58232056" w14:textId="77777777" w:rsidTr="001F41DF">
        <w:trPr>
          <w:gridAfter w:val="2"/>
          <w:wAfter w:w="1493" w:type="dxa"/>
          <w:trHeight w:hRule="exact" w:val="571"/>
        </w:trPr>
        <w:tc>
          <w:tcPr>
            <w:tcW w:w="851" w:type="dxa"/>
            <w:gridSpan w:val="12"/>
          </w:tcPr>
          <w:p w14:paraId="22570B6E" w14:textId="77777777" w:rsidR="00AD6F4C" w:rsidRPr="001F41DF" w:rsidRDefault="00AD6F4C" w:rsidP="008F1E55"/>
        </w:tc>
        <w:tc>
          <w:tcPr>
            <w:tcW w:w="425" w:type="dxa"/>
            <w:gridSpan w:val="2"/>
            <w:shd w:val="clear" w:color="auto" w:fill="auto"/>
          </w:tcPr>
          <w:p w14:paraId="005E4704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BD725F1" w14:textId="77777777" w:rsidR="00F84F9C" w:rsidRPr="001F41DF" w:rsidRDefault="00F84F9C" w:rsidP="00F84F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финансовый отчет, состоящий из полных отчетов о финансовом положении и о совокупном доходе за промежуточный период;</w:t>
            </w:r>
          </w:p>
          <w:p w14:paraId="47D75EF3" w14:textId="77777777" w:rsidR="00AD6F4C" w:rsidRPr="001F41DF" w:rsidRDefault="00AD6F4C" w:rsidP="00AD6F4C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C6274AF" w14:textId="77777777" w:rsidR="00AD6F4C" w:rsidRPr="003040DC" w:rsidRDefault="00AD6F4C" w:rsidP="008F1E55"/>
        </w:tc>
      </w:tr>
      <w:tr w:rsidR="00AD6F4C" w:rsidRPr="003040DC" w14:paraId="11646207" w14:textId="77777777" w:rsidTr="001F41DF">
        <w:trPr>
          <w:gridAfter w:val="2"/>
          <w:wAfter w:w="1493" w:type="dxa"/>
          <w:trHeight w:hRule="exact" w:val="565"/>
        </w:trPr>
        <w:tc>
          <w:tcPr>
            <w:tcW w:w="851" w:type="dxa"/>
            <w:gridSpan w:val="12"/>
          </w:tcPr>
          <w:p w14:paraId="569C5703" w14:textId="77777777" w:rsidR="00AD6F4C" w:rsidRPr="001F41DF" w:rsidRDefault="00AD6F4C" w:rsidP="008F1E55"/>
        </w:tc>
        <w:tc>
          <w:tcPr>
            <w:tcW w:w="425" w:type="dxa"/>
            <w:gridSpan w:val="2"/>
            <w:shd w:val="clear" w:color="auto" w:fill="auto"/>
          </w:tcPr>
          <w:p w14:paraId="46C2EAC7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EB5A238" w14:textId="77777777" w:rsidR="00F84F9C" w:rsidRPr="001F41DF" w:rsidRDefault="00F84F9C" w:rsidP="00F84F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финансовый отчет, состоящий из сокращенных отчетов о финансовом положении и  о совокупном доходе за промежуточный период;</w:t>
            </w:r>
          </w:p>
          <w:p w14:paraId="591D1496" w14:textId="77777777" w:rsidR="00AD6F4C" w:rsidRPr="001F41DF" w:rsidRDefault="00AD6F4C" w:rsidP="00AD6F4C">
            <w:pPr>
              <w:widowControl w:val="0"/>
              <w:rPr>
                <w:rFonts w:ascii="Times New Roman" w:hAnsi="Times New Roman"/>
                <w:sz w:val="24"/>
              </w:rPr>
            </w:pPr>
            <w:r w:rsidRPr="001F41DF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412" w:type="dxa"/>
            <w:gridSpan w:val="5"/>
          </w:tcPr>
          <w:p w14:paraId="4BAB9AF4" w14:textId="77777777" w:rsidR="00AD6F4C" w:rsidRPr="003040DC" w:rsidRDefault="00AD6F4C" w:rsidP="008F1E55"/>
        </w:tc>
      </w:tr>
      <w:tr w:rsidR="00AD6F4C" w:rsidRPr="003040DC" w14:paraId="0DAA8BB1" w14:textId="77777777" w:rsidTr="001F41DF">
        <w:trPr>
          <w:gridAfter w:val="2"/>
          <w:wAfter w:w="1493" w:type="dxa"/>
          <w:trHeight w:hRule="exact" w:val="559"/>
        </w:trPr>
        <w:tc>
          <w:tcPr>
            <w:tcW w:w="851" w:type="dxa"/>
            <w:gridSpan w:val="12"/>
          </w:tcPr>
          <w:p w14:paraId="531162C9" w14:textId="77777777" w:rsidR="00AD6F4C" w:rsidRPr="001F41DF" w:rsidRDefault="00AD6F4C" w:rsidP="008F1E55"/>
        </w:tc>
        <w:tc>
          <w:tcPr>
            <w:tcW w:w="425" w:type="dxa"/>
            <w:gridSpan w:val="2"/>
            <w:shd w:val="clear" w:color="auto" w:fill="auto"/>
          </w:tcPr>
          <w:p w14:paraId="5D07945B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06D35103" w14:textId="77777777" w:rsidR="00F84F9C" w:rsidRPr="001F41DF" w:rsidRDefault="00F84F9C" w:rsidP="00F84F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финансовый отчет, содержащий либо полный комплект финансовой отчетности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сокращенный комплект финансовой отчетности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промежуточный период;</w:t>
            </w:r>
          </w:p>
          <w:p w14:paraId="73D78D6B" w14:textId="77777777" w:rsidR="00AD6F4C" w:rsidRPr="001F41DF" w:rsidRDefault="00AD6F4C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12" w:type="dxa"/>
            <w:gridSpan w:val="5"/>
          </w:tcPr>
          <w:p w14:paraId="2F593DF4" w14:textId="77777777" w:rsidR="00AD6F4C" w:rsidRPr="003040DC" w:rsidRDefault="00AD6F4C" w:rsidP="008F1E55"/>
        </w:tc>
      </w:tr>
      <w:tr w:rsidR="00AD6F4C" w:rsidRPr="003040DC" w14:paraId="3BC84F58" w14:textId="77777777" w:rsidTr="001F41DF">
        <w:trPr>
          <w:gridAfter w:val="2"/>
          <w:wAfter w:w="1493" w:type="dxa"/>
          <w:trHeight w:hRule="exact" w:val="865"/>
        </w:trPr>
        <w:tc>
          <w:tcPr>
            <w:tcW w:w="851" w:type="dxa"/>
            <w:gridSpan w:val="12"/>
          </w:tcPr>
          <w:p w14:paraId="62BDB4CE" w14:textId="77777777" w:rsidR="00AD6F4C" w:rsidRPr="001F41DF" w:rsidRDefault="00AD6F4C" w:rsidP="008F1E55"/>
        </w:tc>
        <w:tc>
          <w:tcPr>
            <w:tcW w:w="425" w:type="dxa"/>
            <w:gridSpan w:val="2"/>
            <w:shd w:val="clear" w:color="auto" w:fill="auto"/>
          </w:tcPr>
          <w:p w14:paraId="22CE22D2" w14:textId="77777777" w:rsidR="00AD6F4C" w:rsidRPr="001F41DF" w:rsidRDefault="00AD6F4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91A9FEA" w14:textId="77777777" w:rsidR="00F84F9C" w:rsidRPr="001F41DF" w:rsidRDefault="00F84F9C" w:rsidP="00F84F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отчетность, предназначенная для удовлетворения потребностей тех пользователей, которые не имеют возможности получать отчетность, подготовленную специально для удовлетворения их информационных нужд.</w:t>
            </w:r>
          </w:p>
          <w:p w14:paraId="6D75B4BD" w14:textId="77777777" w:rsidR="00AD6F4C" w:rsidRPr="001F41DF" w:rsidRDefault="00AD6F4C" w:rsidP="00E128AF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57A3A39B" w14:textId="77777777" w:rsidR="00AD6F4C" w:rsidRPr="003040DC" w:rsidRDefault="00AD6F4C" w:rsidP="008F1E55"/>
        </w:tc>
      </w:tr>
      <w:tr w:rsidR="001F5E28" w:rsidRPr="003040DC" w14:paraId="7EBC277A" w14:textId="77777777" w:rsidTr="00153BA7">
        <w:trPr>
          <w:gridAfter w:val="2"/>
          <w:wAfter w:w="1493" w:type="dxa"/>
          <w:trHeight w:hRule="exact" w:val="226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0E98BB3D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3"/>
          </w:tcPr>
          <w:p w14:paraId="1453C597" w14:textId="77777777" w:rsidR="001F5E28" w:rsidRPr="00A6615D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11"/>
            <w:vMerge w:val="restart"/>
          </w:tcPr>
          <w:p w14:paraId="6CCFEEB2" w14:textId="77777777" w:rsidR="00387A2C" w:rsidRPr="001F41DF" w:rsidRDefault="00387A2C" w:rsidP="00387A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Совместное предприятие 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это:</w:t>
            </w:r>
          </w:p>
          <w:p w14:paraId="00050F64" w14:textId="77777777" w:rsidR="001F5E28" w:rsidRPr="001F41DF" w:rsidRDefault="001F5E28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D2C1205" w14:textId="77777777" w:rsidR="001F5E28" w:rsidRPr="003040DC" w:rsidRDefault="001F5E28" w:rsidP="008F1E55"/>
        </w:tc>
      </w:tr>
      <w:tr w:rsidR="001F5E28" w:rsidRPr="003040DC" w14:paraId="6403B3F7" w14:textId="77777777" w:rsidTr="00153BA7">
        <w:trPr>
          <w:gridAfter w:val="2"/>
          <w:wAfter w:w="1493" w:type="dxa"/>
          <w:trHeight w:hRule="exact" w:val="80"/>
        </w:trPr>
        <w:tc>
          <w:tcPr>
            <w:tcW w:w="426" w:type="dxa"/>
            <w:gridSpan w:val="7"/>
          </w:tcPr>
          <w:p w14:paraId="13435CF9" w14:textId="77777777" w:rsidR="001F5E28" w:rsidRPr="00A6615D" w:rsidRDefault="001F5E28" w:rsidP="008F1E55"/>
        </w:tc>
        <w:tc>
          <w:tcPr>
            <w:tcW w:w="9639" w:type="dxa"/>
            <w:gridSpan w:val="11"/>
            <w:vMerge/>
          </w:tcPr>
          <w:p w14:paraId="1A52746E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8496DBC" w14:textId="77777777" w:rsidR="001F5E28" w:rsidRPr="003040DC" w:rsidRDefault="001F5E28" w:rsidP="008F1E55"/>
        </w:tc>
      </w:tr>
      <w:tr w:rsidR="003A5F51" w:rsidRPr="003040DC" w14:paraId="1E7E094F" w14:textId="77777777" w:rsidTr="001F41DF">
        <w:trPr>
          <w:gridAfter w:val="2"/>
          <w:wAfter w:w="1493" w:type="dxa"/>
          <w:trHeight w:hRule="exact" w:val="259"/>
        </w:trPr>
        <w:tc>
          <w:tcPr>
            <w:tcW w:w="851" w:type="dxa"/>
            <w:gridSpan w:val="12"/>
          </w:tcPr>
          <w:p w14:paraId="7D1BEF6E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33BD53F6" w14:textId="77777777" w:rsidR="003A5F51" w:rsidRPr="001F41DF" w:rsidRDefault="003A5F5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014AC7BB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предприятие, на деятельность которого инвестор оказывает значительное влияние;</w:t>
            </w:r>
          </w:p>
          <w:p w14:paraId="2CDD0FBA" w14:textId="77777777" w:rsidR="003A5F51" w:rsidRPr="001F41DF" w:rsidRDefault="003A5F51" w:rsidP="003A5F5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37B10E4A" w14:textId="77777777" w:rsidR="003A5F51" w:rsidRPr="003040DC" w:rsidRDefault="003A5F51"/>
        </w:tc>
      </w:tr>
      <w:tr w:rsidR="003A5F51" w:rsidRPr="003040DC" w14:paraId="67CDC42F" w14:textId="77777777" w:rsidTr="001F41DF">
        <w:trPr>
          <w:gridAfter w:val="2"/>
          <w:wAfter w:w="1493" w:type="dxa"/>
          <w:trHeight w:hRule="exact" w:val="289"/>
        </w:trPr>
        <w:tc>
          <w:tcPr>
            <w:tcW w:w="851" w:type="dxa"/>
            <w:gridSpan w:val="12"/>
          </w:tcPr>
          <w:p w14:paraId="6437E461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4F413E6B" w14:textId="77777777" w:rsidR="003A5F51" w:rsidRPr="001F41DF" w:rsidRDefault="003A5F5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5047F44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предприятие, над которым инвестор обладает контролем;</w:t>
            </w:r>
          </w:p>
          <w:p w14:paraId="689318DC" w14:textId="77777777" w:rsidR="003A5F51" w:rsidRPr="001F41DF" w:rsidRDefault="003A5F51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E2DA2DC" w14:textId="77777777" w:rsidR="003A5F51" w:rsidRPr="003040DC" w:rsidRDefault="003A5F51" w:rsidP="008F1E55"/>
        </w:tc>
      </w:tr>
      <w:tr w:rsidR="003A5F51" w:rsidRPr="003040DC" w14:paraId="0F99338D" w14:textId="77777777" w:rsidTr="001F41DF">
        <w:trPr>
          <w:gridAfter w:val="2"/>
          <w:wAfter w:w="1493" w:type="dxa"/>
          <w:trHeight w:hRule="exact" w:val="551"/>
        </w:trPr>
        <w:tc>
          <w:tcPr>
            <w:tcW w:w="851" w:type="dxa"/>
            <w:gridSpan w:val="12"/>
          </w:tcPr>
          <w:p w14:paraId="5BEC3F6D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114A1836" w14:textId="77777777" w:rsidR="003A5F51" w:rsidRPr="001F41DF" w:rsidRDefault="003A5F5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28F7A66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совместная деятельность, которая предполагает наличие у сторон, обладающих совместным контролем над деятельностью, прав на чистые активы деятельности;</w:t>
            </w:r>
          </w:p>
          <w:p w14:paraId="35579065" w14:textId="77777777" w:rsidR="003A5F51" w:rsidRPr="001F41DF" w:rsidRDefault="003A5F51" w:rsidP="003A5F5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B4B3766" w14:textId="77777777" w:rsidR="003A5F51" w:rsidRPr="003040DC" w:rsidRDefault="003A5F51" w:rsidP="008F1E55"/>
        </w:tc>
      </w:tr>
      <w:tr w:rsidR="003A5F51" w:rsidRPr="003040DC" w14:paraId="3DEB831E" w14:textId="77777777" w:rsidTr="001F41DF">
        <w:trPr>
          <w:gridAfter w:val="2"/>
          <w:wAfter w:w="1493" w:type="dxa"/>
          <w:trHeight w:hRule="exact" w:val="572"/>
        </w:trPr>
        <w:tc>
          <w:tcPr>
            <w:tcW w:w="851" w:type="dxa"/>
            <w:gridSpan w:val="12"/>
          </w:tcPr>
          <w:p w14:paraId="035B667E" w14:textId="77777777" w:rsidR="003A5F51" w:rsidRPr="001F41DF" w:rsidRDefault="003A5F51" w:rsidP="008F1E55"/>
        </w:tc>
        <w:tc>
          <w:tcPr>
            <w:tcW w:w="425" w:type="dxa"/>
            <w:gridSpan w:val="2"/>
            <w:shd w:val="clear" w:color="auto" w:fill="auto"/>
          </w:tcPr>
          <w:p w14:paraId="6477A113" w14:textId="77777777" w:rsidR="003A5F51" w:rsidRPr="001F41DF" w:rsidRDefault="003A5F5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C6B43AC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 совместного предприятия, обладающая совместным контролем над таким совместным предприятием.</w:t>
            </w:r>
          </w:p>
          <w:p w14:paraId="1A0FFB4C" w14:textId="77777777" w:rsidR="004939B8" w:rsidRPr="001F41DF" w:rsidRDefault="004939B8" w:rsidP="004939B8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722855F8" w14:textId="77777777" w:rsidR="003A5F51" w:rsidRPr="001F41DF" w:rsidRDefault="003A5F51" w:rsidP="003A5F5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1076F040" w14:textId="77777777" w:rsidR="003A5F51" w:rsidRPr="003040DC" w:rsidRDefault="003A5F51" w:rsidP="008F1E55"/>
        </w:tc>
      </w:tr>
      <w:tr w:rsidR="001F5E28" w:rsidRPr="003040DC" w14:paraId="5EA4AEF3" w14:textId="77777777" w:rsidTr="00F84F9C">
        <w:trPr>
          <w:gridAfter w:val="2"/>
          <w:wAfter w:w="1493" w:type="dxa"/>
          <w:trHeight w:hRule="exact" w:val="40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0F11F4C3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97" w:type="dxa"/>
            <w:gridSpan w:val="4"/>
          </w:tcPr>
          <w:p w14:paraId="3EE78EAB" w14:textId="77777777" w:rsidR="001F5E28" w:rsidRPr="001F41DF" w:rsidRDefault="001F5E28" w:rsidP="008F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545907F1" w14:textId="77777777" w:rsidR="00F84F9C" w:rsidRPr="001F41DF" w:rsidRDefault="00F84F9C" w:rsidP="00F84F9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Нематериальные активы с неопределенным сроком полезной службы:</w:t>
            </w:r>
          </w:p>
          <w:p w14:paraId="76928FE0" w14:textId="77777777" w:rsidR="00AE1C8C" w:rsidRPr="001F41DF" w:rsidRDefault="00F84F9C" w:rsidP="00AE1C8C">
            <w:pPr>
              <w:numPr>
                <w:ilvl w:val="0"/>
                <w:numId w:val="4"/>
              </w:num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t xml:space="preserve"> </w:t>
            </w:r>
            <w:r w:rsidR="00AE1C8C"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амортизируются и тестируются на обесценение;</w:t>
            </w:r>
          </w:p>
          <w:p w14:paraId="6FA670B8" w14:textId="77777777" w:rsidR="00AE1C8C" w:rsidRPr="001F41DF" w:rsidRDefault="00AE1C8C" w:rsidP="00AE1C8C">
            <w:pPr>
              <w:numPr>
                <w:ilvl w:val="0"/>
                <w:numId w:val="4"/>
              </w:num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не амортизируются и не тестируются на обесценение;</w:t>
            </w:r>
          </w:p>
          <w:p w14:paraId="5F3F35DB" w14:textId="77777777" w:rsidR="00AE1C8C" w:rsidRPr="001F41DF" w:rsidRDefault="00AE1C8C" w:rsidP="00AE1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</w:t>
            </w:r>
            <w:r w:rsidR="00F84F9C"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C</w:t>
            </w:r>
            <w:r w:rsidR="00F84F9C"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не амортизируются, но ежегодно тестируются на обесценение;</w:t>
            </w:r>
          </w:p>
          <w:p w14:paraId="17020BDF" w14:textId="77777777" w:rsidR="00AE1C8C" w:rsidRPr="001F41DF" w:rsidRDefault="00AE1C8C" w:rsidP="00AE1C8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D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списываются на расходы периода.</w:t>
            </w:r>
          </w:p>
          <w:p w14:paraId="448E2069" w14:textId="77777777" w:rsidR="00142706" w:rsidRPr="001F41DF" w:rsidRDefault="00142706" w:rsidP="00040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E310A" w14:textId="77777777" w:rsidR="001F5E28" w:rsidRPr="001F41DF" w:rsidRDefault="001F5E28" w:rsidP="0014270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32C1EC1" w14:textId="77777777" w:rsidR="001F5E28" w:rsidRPr="003040DC" w:rsidRDefault="001F5E28" w:rsidP="008F1E55"/>
        </w:tc>
      </w:tr>
      <w:tr w:rsidR="001F5E28" w:rsidRPr="003040DC" w14:paraId="0798638A" w14:textId="77777777" w:rsidTr="00AE1C8C">
        <w:trPr>
          <w:gridAfter w:val="2"/>
          <w:wAfter w:w="1493" w:type="dxa"/>
          <w:trHeight w:hRule="exact" w:val="998"/>
        </w:trPr>
        <w:tc>
          <w:tcPr>
            <w:tcW w:w="455" w:type="dxa"/>
            <w:gridSpan w:val="8"/>
          </w:tcPr>
          <w:p w14:paraId="6ED87C23" w14:textId="77777777" w:rsidR="001F5E28" w:rsidRPr="001F41DF" w:rsidRDefault="006F67F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0" w:type="dxa"/>
            <w:gridSpan w:val="10"/>
            <w:vMerge/>
          </w:tcPr>
          <w:p w14:paraId="021F3F15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03C3BF8E" w14:textId="77777777" w:rsidR="001F5E28" w:rsidRPr="003040DC" w:rsidRDefault="001F5E28" w:rsidP="008F1E55"/>
        </w:tc>
      </w:tr>
      <w:tr w:rsidR="00247E0C" w:rsidRPr="003040DC" w14:paraId="6760C0D6" w14:textId="77777777" w:rsidTr="00387A2C">
        <w:trPr>
          <w:gridAfter w:val="2"/>
          <w:wAfter w:w="1493" w:type="dxa"/>
          <w:trHeight w:hRule="exact" w:val="26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7C2F4B09" w14:textId="77777777" w:rsidR="00247E0C" w:rsidRPr="00A6615D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97" w:type="dxa"/>
            <w:gridSpan w:val="4"/>
          </w:tcPr>
          <w:p w14:paraId="3D5E85C5" w14:textId="77777777" w:rsidR="00247E0C" w:rsidRPr="001F41DF" w:rsidRDefault="00247E0C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6E3E9FEB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Квалифицируемые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активы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включают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14:paraId="7389F3E7" w14:textId="77777777" w:rsidR="00247E0C" w:rsidRPr="001F41DF" w:rsidRDefault="00247E0C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0E5ED6BD" w14:textId="77777777" w:rsidR="00247E0C" w:rsidRPr="003040DC" w:rsidRDefault="00247E0C" w:rsidP="008F1E55"/>
        </w:tc>
      </w:tr>
      <w:tr w:rsidR="001F5E28" w:rsidRPr="003040DC" w14:paraId="2F79800A" w14:textId="77777777" w:rsidTr="00153BA7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05D2CA15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029F302B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0079F5D" w14:textId="77777777" w:rsidR="001F5E28" w:rsidRPr="003040DC" w:rsidRDefault="001F5E28" w:rsidP="008F1E55"/>
        </w:tc>
      </w:tr>
      <w:tr w:rsidR="00192206" w:rsidRPr="003040DC" w14:paraId="2D17E633" w14:textId="77777777" w:rsidTr="00153BA7">
        <w:trPr>
          <w:gridAfter w:val="2"/>
          <w:wAfter w:w="1493" w:type="dxa"/>
          <w:trHeight w:hRule="exact" w:val="277"/>
        </w:trPr>
        <w:tc>
          <w:tcPr>
            <w:tcW w:w="851" w:type="dxa"/>
            <w:gridSpan w:val="12"/>
          </w:tcPr>
          <w:p w14:paraId="6331D486" w14:textId="77777777" w:rsidR="00192206" w:rsidRPr="001F41DF" w:rsidRDefault="00192206" w:rsidP="008F1E55"/>
        </w:tc>
        <w:tc>
          <w:tcPr>
            <w:tcW w:w="283" w:type="dxa"/>
            <w:shd w:val="clear" w:color="auto" w:fill="auto"/>
          </w:tcPr>
          <w:p w14:paraId="09B3112B" w14:textId="77777777" w:rsidR="00192206" w:rsidRPr="001F41DF" w:rsidRDefault="0019220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35A65518" w14:textId="77777777" w:rsidR="00387A2C" w:rsidRPr="001F41DF" w:rsidRDefault="00387A2C" w:rsidP="00387A2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запасы, готовящиеся к продаже в короткий срок</w:t>
            </w:r>
          </w:p>
          <w:p w14:paraId="491B5595" w14:textId="77777777" w:rsidR="00192206" w:rsidRPr="001F41DF" w:rsidRDefault="00192206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8AF0321" w14:textId="77777777" w:rsidR="00192206" w:rsidRPr="003040DC" w:rsidRDefault="00192206" w:rsidP="008F1E55"/>
        </w:tc>
      </w:tr>
      <w:tr w:rsidR="00192206" w:rsidRPr="003040DC" w14:paraId="663E35E6" w14:textId="77777777" w:rsidTr="00387A2C">
        <w:trPr>
          <w:gridAfter w:val="2"/>
          <w:wAfter w:w="1493" w:type="dxa"/>
          <w:trHeight w:hRule="exact" w:val="504"/>
        </w:trPr>
        <w:tc>
          <w:tcPr>
            <w:tcW w:w="851" w:type="dxa"/>
            <w:gridSpan w:val="12"/>
          </w:tcPr>
          <w:p w14:paraId="08E70ADF" w14:textId="77777777" w:rsidR="00192206" w:rsidRPr="001F41DF" w:rsidRDefault="00192206" w:rsidP="008F1E55"/>
        </w:tc>
        <w:tc>
          <w:tcPr>
            <w:tcW w:w="283" w:type="dxa"/>
            <w:shd w:val="clear" w:color="auto" w:fill="auto"/>
          </w:tcPr>
          <w:p w14:paraId="2298C669" w14:textId="77777777" w:rsidR="00192206" w:rsidRPr="001F41DF" w:rsidRDefault="0019220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5A0062DD" w14:textId="77777777" w:rsidR="00387A2C" w:rsidRPr="001F41DF" w:rsidRDefault="00387A2C" w:rsidP="001F4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активы, готовящиеся к использованию или продаже в течение продолжительного времени </w:t>
            </w:r>
          </w:p>
          <w:p w14:paraId="5BDDA561" w14:textId="77777777" w:rsidR="00192206" w:rsidRPr="001F41DF" w:rsidRDefault="00192206" w:rsidP="00153B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611E660F" w14:textId="77777777" w:rsidR="00192206" w:rsidRPr="003040DC" w:rsidRDefault="00192206" w:rsidP="008F1E55"/>
        </w:tc>
      </w:tr>
      <w:tr w:rsidR="00192206" w:rsidRPr="003040DC" w14:paraId="4A115C97" w14:textId="77777777" w:rsidTr="00153BA7">
        <w:trPr>
          <w:gridAfter w:val="2"/>
          <w:wAfter w:w="1493" w:type="dxa"/>
          <w:trHeight w:hRule="exact" w:val="272"/>
        </w:trPr>
        <w:tc>
          <w:tcPr>
            <w:tcW w:w="851" w:type="dxa"/>
            <w:gridSpan w:val="12"/>
          </w:tcPr>
          <w:p w14:paraId="7BA69A55" w14:textId="77777777" w:rsidR="00192206" w:rsidRPr="001F41DF" w:rsidRDefault="00192206" w:rsidP="008F1E55"/>
        </w:tc>
        <w:tc>
          <w:tcPr>
            <w:tcW w:w="283" w:type="dxa"/>
            <w:shd w:val="clear" w:color="auto" w:fill="auto"/>
          </w:tcPr>
          <w:p w14:paraId="417BB0A8" w14:textId="77777777" w:rsidR="00192206" w:rsidRPr="001F41DF" w:rsidRDefault="0019220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4134E796" w14:textId="77777777" w:rsidR="00387A2C" w:rsidRPr="001F41DF" w:rsidRDefault="00387A2C" w:rsidP="00387A2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активы, готовые к продаже или использованию при приобретении </w:t>
            </w:r>
          </w:p>
          <w:p w14:paraId="25A53511" w14:textId="77777777" w:rsidR="00192206" w:rsidRPr="001F41DF" w:rsidRDefault="00192206" w:rsidP="00192206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412" w:type="dxa"/>
            <w:gridSpan w:val="5"/>
          </w:tcPr>
          <w:p w14:paraId="4DF1A345" w14:textId="77777777" w:rsidR="00192206" w:rsidRPr="003040DC" w:rsidRDefault="00192206" w:rsidP="008F1E55"/>
        </w:tc>
      </w:tr>
      <w:tr w:rsidR="00192206" w:rsidRPr="003040DC" w14:paraId="4E3D5694" w14:textId="77777777" w:rsidTr="00AE1C8C">
        <w:trPr>
          <w:gridAfter w:val="2"/>
          <w:wAfter w:w="1493" w:type="dxa"/>
          <w:trHeight w:hRule="exact" w:val="579"/>
        </w:trPr>
        <w:tc>
          <w:tcPr>
            <w:tcW w:w="851" w:type="dxa"/>
            <w:gridSpan w:val="12"/>
          </w:tcPr>
          <w:p w14:paraId="1719F47C" w14:textId="77777777" w:rsidR="00192206" w:rsidRPr="001F41DF" w:rsidRDefault="00192206" w:rsidP="008F1E55"/>
        </w:tc>
        <w:tc>
          <w:tcPr>
            <w:tcW w:w="283" w:type="dxa"/>
            <w:shd w:val="clear" w:color="auto" w:fill="auto"/>
          </w:tcPr>
          <w:p w14:paraId="59C4F48A" w14:textId="77777777" w:rsidR="00192206" w:rsidRPr="001F41DF" w:rsidRDefault="0019220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73E63483" w14:textId="77777777" w:rsidR="00387A2C" w:rsidRPr="001F41DF" w:rsidRDefault="00387A2C" w:rsidP="00387A2C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запасы, производящиеся в больших количествах, на повторяющейся основе и на протяжении короткого периода времени</w:t>
            </w:r>
          </w:p>
          <w:p w14:paraId="61797262" w14:textId="77777777" w:rsidR="00192206" w:rsidRPr="001F41DF" w:rsidRDefault="00192206" w:rsidP="00192206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412" w:type="dxa"/>
            <w:gridSpan w:val="5"/>
          </w:tcPr>
          <w:p w14:paraId="0B260FEB" w14:textId="77777777" w:rsidR="00192206" w:rsidRPr="003040DC" w:rsidRDefault="00192206" w:rsidP="008F1E55"/>
        </w:tc>
      </w:tr>
      <w:tr w:rsidR="001F5E28" w:rsidRPr="003040DC" w14:paraId="69EDB2DE" w14:textId="77777777" w:rsidTr="00387A2C">
        <w:trPr>
          <w:gridAfter w:val="2"/>
          <w:wAfter w:w="1493" w:type="dxa"/>
          <w:trHeight w:hRule="exact" w:val="713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22F4C0D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97" w:type="dxa"/>
            <w:gridSpan w:val="4"/>
          </w:tcPr>
          <w:p w14:paraId="0B8551DD" w14:textId="77777777" w:rsidR="001F5E28" w:rsidRPr="001F41D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14A2352C" w14:textId="77777777" w:rsidR="004C2A03" w:rsidRPr="001F41DF" w:rsidRDefault="004C2A03" w:rsidP="00F71FD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DDEA111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(IFRS) 7 какой из следующих терминов является компонентом рыночного риска?</w:t>
            </w:r>
          </w:p>
          <w:p w14:paraId="50D5D8F9" w14:textId="77777777" w:rsidR="00387A2C" w:rsidRPr="001F41DF" w:rsidRDefault="00387A2C" w:rsidP="00387A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A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Валютный риск</w:t>
            </w:r>
            <w:r w:rsidRPr="001F41DF">
              <w:rPr>
                <w:rFonts w:ascii="Times New Roman" w:eastAsia="Times New Roman" w:hAnsi="Times New Roman" w:cs="Times New Roman"/>
                <w:sz w:val="24"/>
                <w:shd w:val="clear" w:color="auto" w:fill="FFFF00"/>
                <w:lang w:eastAsia="en-US"/>
              </w:rPr>
              <w:t xml:space="preserve"> </w:t>
            </w:r>
          </w:p>
          <w:p w14:paraId="36F1B375" w14:textId="77777777" w:rsidR="00387A2C" w:rsidRPr="001F41DF" w:rsidRDefault="00387A2C" w:rsidP="00387A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B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Риск ликвидности</w:t>
            </w:r>
          </w:p>
          <w:p w14:paraId="717E51AA" w14:textId="77777777" w:rsidR="00387A2C" w:rsidRPr="001F41DF" w:rsidRDefault="00387A2C" w:rsidP="00387A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C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Кредитный риск</w:t>
            </w:r>
          </w:p>
          <w:p w14:paraId="160FCF83" w14:textId="77777777" w:rsidR="00387A2C" w:rsidRPr="001F41DF" w:rsidRDefault="00387A2C" w:rsidP="00387A2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     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D</w:t>
            </w:r>
            <w:r w:rsidR="00E128AF"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Риск неоплаты</w:t>
            </w:r>
          </w:p>
          <w:p w14:paraId="779885AA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14CC9FD" w14:textId="77777777" w:rsidR="001F5E28" w:rsidRPr="003040DC" w:rsidRDefault="001F5E28" w:rsidP="008F1E55"/>
        </w:tc>
      </w:tr>
      <w:tr w:rsidR="001F5E28" w:rsidRPr="003040DC" w14:paraId="2FC4CBB4" w14:textId="77777777" w:rsidTr="00AE1C8C">
        <w:trPr>
          <w:gridAfter w:val="2"/>
          <w:wAfter w:w="1493" w:type="dxa"/>
          <w:trHeight w:hRule="exact" w:val="2114"/>
        </w:trPr>
        <w:tc>
          <w:tcPr>
            <w:tcW w:w="455" w:type="dxa"/>
            <w:gridSpan w:val="8"/>
          </w:tcPr>
          <w:p w14:paraId="5EF3E52F" w14:textId="77777777" w:rsidR="001F5E28" w:rsidRPr="001F41DF" w:rsidRDefault="00445A74" w:rsidP="008F1E55">
            <w:r w:rsidRPr="001F41DF">
              <w:t xml:space="preserve">  </w:t>
            </w:r>
          </w:p>
        </w:tc>
        <w:tc>
          <w:tcPr>
            <w:tcW w:w="9610" w:type="dxa"/>
            <w:gridSpan w:val="10"/>
            <w:vMerge/>
          </w:tcPr>
          <w:p w14:paraId="4DAC238D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FDCAC24" w14:textId="77777777" w:rsidR="001F5E28" w:rsidRPr="003040DC" w:rsidRDefault="001F5E28" w:rsidP="008F1E55"/>
        </w:tc>
      </w:tr>
      <w:tr w:rsidR="001F5E28" w:rsidRPr="003040DC" w14:paraId="1FF61FAF" w14:textId="77777777" w:rsidTr="00153BA7">
        <w:trPr>
          <w:gridAfter w:val="2"/>
          <w:wAfter w:w="1493" w:type="dxa"/>
          <w:trHeight w:hRule="exact" w:val="273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BC77E13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7" w:type="dxa"/>
            <w:gridSpan w:val="4"/>
          </w:tcPr>
          <w:p w14:paraId="1F3C75E5" w14:textId="77777777" w:rsidR="001F5E28" w:rsidRPr="001F41DF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6D83A79B" w14:textId="77777777" w:rsidR="001F5E28" w:rsidRPr="001F41DF" w:rsidRDefault="00FD69F5" w:rsidP="004C2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DF">
              <w:rPr>
                <w:rFonts w:ascii="Times New Roman" w:hAnsi="Times New Roman"/>
                <w:b/>
                <w:sz w:val="24"/>
                <w:shd w:val="clear" w:color="auto" w:fill="FFFFFF"/>
              </w:rPr>
              <w:t>Когда независимый эксперт по оценке информирует предприятие о том, что остаточная стоимость его основных средств резко изменилась и изменение существенно, предприятие должно:</w:t>
            </w:r>
            <w:r w:rsidR="00FB2F08" w:rsidRPr="001F41DF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412" w:type="dxa"/>
            <w:gridSpan w:val="5"/>
          </w:tcPr>
          <w:p w14:paraId="6EC1E835" w14:textId="77777777" w:rsidR="001F5E28" w:rsidRPr="003040DC" w:rsidRDefault="001F5E28" w:rsidP="008F1E55"/>
        </w:tc>
      </w:tr>
      <w:tr w:rsidR="001F5E28" w:rsidRPr="003040DC" w14:paraId="45C2337C" w14:textId="77777777" w:rsidTr="00153BA7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402A3BBD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2F42A039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A096707" w14:textId="77777777" w:rsidR="001F5E28" w:rsidRPr="003040DC" w:rsidRDefault="001F5E28" w:rsidP="008F1E55"/>
        </w:tc>
      </w:tr>
      <w:tr w:rsidR="001F5E28" w:rsidRPr="003040DC" w14:paraId="7B478179" w14:textId="77777777" w:rsidTr="00FB2F08">
        <w:trPr>
          <w:gridAfter w:val="2"/>
          <w:wAfter w:w="1493" w:type="dxa"/>
          <w:trHeight w:hRule="exact" w:val="503"/>
        </w:trPr>
        <w:tc>
          <w:tcPr>
            <w:tcW w:w="455" w:type="dxa"/>
            <w:gridSpan w:val="8"/>
          </w:tcPr>
          <w:p w14:paraId="463E01E0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53DAC272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0A62619D" w14:textId="77777777" w:rsidR="001F5E28" w:rsidRPr="003040DC" w:rsidRDefault="001F5E28" w:rsidP="008F1E55"/>
        </w:tc>
      </w:tr>
      <w:tr w:rsidR="00192206" w:rsidRPr="003040DC" w14:paraId="227AD8F7" w14:textId="77777777" w:rsidTr="001F41DF">
        <w:trPr>
          <w:gridAfter w:val="2"/>
          <w:wAfter w:w="1493" w:type="dxa"/>
          <w:trHeight w:hRule="exact" w:val="270"/>
        </w:trPr>
        <w:tc>
          <w:tcPr>
            <w:tcW w:w="851" w:type="dxa"/>
            <w:gridSpan w:val="12"/>
          </w:tcPr>
          <w:p w14:paraId="013EFD11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687F1D43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F9273FF" w14:textId="77777777" w:rsidR="00FD69F5" w:rsidRPr="001F41DF" w:rsidRDefault="00FD69F5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изменить сумму амортизации за текущий и будущие годы;</w:t>
            </w:r>
          </w:p>
          <w:p w14:paraId="6078EF14" w14:textId="77777777" w:rsidR="00192206" w:rsidRPr="001F41DF" w:rsidRDefault="00192206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A78AC68" w14:textId="77777777" w:rsidR="00192206" w:rsidRPr="003040DC" w:rsidRDefault="00192206" w:rsidP="008F1E55"/>
        </w:tc>
      </w:tr>
      <w:tr w:rsidR="00192206" w:rsidRPr="003040DC" w14:paraId="4FB71421" w14:textId="77777777" w:rsidTr="001F41DF">
        <w:trPr>
          <w:gridAfter w:val="2"/>
          <w:wAfter w:w="1493" w:type="dxa"/>
          <w:trHeight w:hRule="exact" w:val="591"/>
        </w:trPr>
        <w:tc>
          <w:tcPr>
            <w:tcW w:w="851" w:type="dxa"/>
            <w:gridSpan w:val="12"/>
          </w:tcPr>
          <w:p w14:paraId="5DE244A2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4C6FF0F0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D7B0B37" w14:textId="77777777" w:rsidR="00FD69F5" w:rsidRPr="001F41DF" w:rsidRDefault="00FD69F5" w:rsidP="00FD69F5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ретроспективно изменить сумму амортизации, основываясь на измененной ликвидационной стоимости;</w:t>
            </w:r>
          </w:p>
          <w:p w14:paraId="746A29A0" w14:textId="77777777" w:rsidR="00192206" w:rsidRPr="001F41DF" w:rsidRDefault="00192206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7CBC7A7" w14:textId="77777777" w:rsidR="00192206" w:rsidRPr="003040DC" w:rsidRDefault="00192206" w:rsidP="008F1E55"/>
        </w:tc>
      </w:tr>
      <w:tr w:rsidR="00192206" w:rsidRPr="003040DC" w14:paraId="7952979E" w14:textId="77777777" w:rsidTr="001F41DF">
        <w:trPr>
          <w:gridAfter w:val="2"/>
          <w:wAfter w:w="1493" w:type="dxa"/>
          <w:trHeight w:hRule="exact" w:val="278"/>
        </w:trPr>
        <w:tc>
          <w:tcPr>
            <w:tcW w:w="851" w:type="dxa"/>
            <w:gridSpan w:val="12"/>
          </w:tcPr>
          <w:p w14:paraId="3D8C1440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41F1A20F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DE2E5E0" w14:textId="77777777" w:rsidR="00FD69F5" w:rsidRPr="001F41DF" w:rsidRDefault="00FD69F5" w:rsidP="00FD69F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изменить сумму амортизации и учесть ее как исправление ошибки;</w:t>
            </w:r>
          </w:p>
          <w:p w14:paraId="3499A6B4" w14:textId="77777777" w:rsidR="00192206" w:rsidRPr="001F41DF" w:rsidRDefault="00192206" w:rsidP="0019220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059D29A0" w14:textId="77777777" w:rsidR="00192206" w:rsidRPr="003040DC" w:rsidRDefault="00192206" w:rsidP="008F1E55"/>
        </w:tc>
      </w:tr>
      <w:tr w:rsidR="00192206" w:rsidRPr="003040DC" w14:paraId="3E5DEB35" w14:textId="77777777" w:rsidTr="001F41DF">
        <w:trPr>
          <w:gridAfter w:val="2"/>
          <w:wAfter w:w="1493" w:type="dxa"/>
          <w:trHeight w:hRule="exact" w:val="561"/>
        </w:trPr>
        <w:tc>
          <w:tcPr>
            <w:tcW w:w="851" w:type="dxa"/>
            <w:gridSpan w:val="12"/>
          </w:tcPr>
          <w:p w14:paraId="708F86F3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4D391089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13C4624" w14:textId="77777777" w:rsidR="00FD69F5" w:rsidRPr="001F41DF" w:rsidRDefault="00FD69F5" w:rsidP="00FD69F5">
            <w:pPr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en-US"/>
              </w:rPr>
              <w:t>проигнорировать влияние изменения на годовую амортизацию, поскольку изменения в ликвидационной стоимости затрагивают только будущие периоды.</w:t>
            </w:r>
          </w:p>
          <w:p w14:paraId="205B9BE9" w14:textId="77777777" w:rsidR="00192206" w:rsidRPr="001F41DF" w:rsidRDefault="00192206" w:rsidP="00192206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5790266" w14:textId="77777777" w:rsidR="00192206" w:rsidRPr="003040DC" w:rsidRDefault="00192206" w:rsidP="008F1E55"/>
        </w:tc>
      </w:tr>
      <w:tr w:rsidR="00D56F15" w:rsidRPr="003040DC" w14:paraId="69EDB123" w14:textId="77777777" w:rsidTr="00153BA7">
        <w:trPr>
          <w:gridAfter w:val="2"/>
          <w:wAfter w:w="1493" w:type="dxa"/>
          <w:trHeight w:hRule="exact" w:val="130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4151650" w14:textId="77777777" w:rsidR="00D56F15" w:rsidRPr="00A6615D" w:rsidRDefault="00D56F15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5"/>
          </w:tcPr>
          <w:p w14:paraId="2805CE89" w14:textId="77777777" w:rsidR="00D56F15" w:rsidRPr="001F41DF" w:rsidRDefault="00D56F15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03" w:type="dxa"/>
            <w:gridSpan w:val="9"/>
            <w:vMerge w:val="restart"/>
          </w:tcPr>
          <w:p w14:paraId="01D11E96" w14:textId="77777777" w:rsidR="00FD69F5" w:rsidRPr="001F41DF" w:rsidRDefault="00FD69F5" w:rsidP="00FD69F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Запасы на конец периода у компании «АВС» составляли 284 000 тенге на отчетную дату 30 сентября 2017г. Этот итог включает две товарные позиции в запасах, в отношении которых у ревизора этих запасов есть неопределенность.</w:t>
            </w:r>
          </w:p>
          <w:p w14:paraId="4E8F188A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500 единиц товара были включены в отчетность в сумме 7 500 тенге. Себестоимость каждой единицы — 15 тенге. Установлено, что эти товары были бракованными на отчетную дату. Работы по устранению дефектов, проведенные после отчетной даты, обошлись в 1 800 тенге, и эти товары были затем проданы по 20 тенге за единицу. Расходы по продаже составили 400 тенге.</w:t>
            </w:r>
          </w:p>
          <w:p w14:paraId="62AD3AE1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100 изделий стоимостью 10 тенге каждое. После отчетной даты они были проданы за 8 тенге каждое, а расходы по продаже составили 150 тенге.</w:t>
            </w:r>
          </w:p>
          <w:p w14:paraId="2AB8A4ED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Какую величину запасов следует отразить в отчете о финансовом положении у «АВС»?</w:t>
            </w:r>
          </w:p>
          <w:p w14:paraId="089BF41D" w14:textId="77777777" w:rsidR="00D56F15" w:rsidRPr="001F41DF" w:rsidRDefault="00D56F15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1F0B21B" w14:textId="77777777" w:rsidR="00D56F15" w:rsidRPr="003040DC" w:rsidRDefault="00D56F15"/>
        </w:tc>
      </w:tr>
      <w:tr w:rsidR="001F5E28" w:rsidRPr="003040DC" w14:paraId="1AAA6D2A" w14:textId="77777777" w:rsidTr="00153BA7">
        <w:trPr>
          <w:gridAfter w:val="2"/>
          <w:wAfter w:w="1493" w:type="dxa"/>
          <w:trHeight w:hRule="exact" w:val="80"/>
        </w:trPr>
        <w:tc>
          <w:tcPr>
            <w:tcW w:w="462" w:type="dxa"/>
            <w:gridSpan w:val="9"/>
          </w:tcPr>
          <w:p w14:paraId="5EB18B2B" w14:textId="77777777" w:rsidR="001F5E28" w:rsidRPr="001F41DF" w:rsidRDefault="001F5E28" w:rsidP="008F1E55"/>
        </w:tc>
        <w:tc>
          <w:tcPr>
            <w:tcW w:w="9603" w:type="dxa"/>
            <w:gridSpan w:val="9"/>
            <w:vMerge/>
          </w:tcPr>
          <w:p w14:paraId="5C34C956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01CC47A" w14:textId="77777777" w:rsidR="001F5E28" w:rsidRPr="003040DC" w:rsidRDefault="001F5E28" w:rsidP="008F1E55"/>
        </w:tc>
      </w:tr>
      <w:tr w:rsidR="001F5E28" w:rsidRPr="003040DC" w14:paraId="192A0BDC" w14:textId="77777777" w:rsidTr="00FD69F5">
        <w:trPr>
          <w:gridAfter w:val="2"/>
          <w:wAfter w:w="1493" w:type="dxa"/>
          <w:trHeight w:hRule="exact" w:val="2911"/>
        </w:trPr>
        <w:tc>
          <w:tcPr>
            <w:tcW w:w="462" w:type="dxa"/>
            <w:gridSpan w:val="9"/>
          </w:tcPr>
          <w:p w14:paraId="172AAD04" w14:textId="77777777" w:rsidR="001F5E28" w:rsidRPr="001F41DF" w:rsidRDefault="001F5E28" w:rsidP="008F1E55"/>
        </w:tc>
        <w:tc>
          <w:tcPr>
            <w:tcW w:w="9603" w:type="dxa"/>
            <w:gridSpan w:val="9"/>
            <w:vMerge/>
          </w:tcPr>
          <w:p w14:paraId="5B3C343D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FACF46F" w14:textId="77777777" w:rsidR="001F5E28" w:rsidRPr="003040DC" w:rsidRDefault="001F5E28" w:rsidP="008F1E55"/>
        </w:tc>
      </w:tr>
      <w:tr w:rsidR="000C53F9" w:rsidRPr="003040DC" w14:paraId="448582E5" w14:textId="77777777" w:rsidTr="001F41DF">
        <w:trPr>
          <w:gridAfter w:val="2"/>
          <w:wAfter w:w="1493" w:type="dxa"/>
          <w:trHeight w:hRule="exact" w:val="273"/>
        </w:trPr>
        <w:tc>
          <w:tcPr>
            <w:tcW w:w="851" w:type="dxa"/>
            <w:gridSpan w:val="12"/>
          </w:tcPr>
          <w:p w14:paraId="7D15BFF9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4672B77B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9F5C59F" w14:textId="77777777" w:rsidR="00FD69F5" w:rsidRPr="001F41DF" w:rsidRDefault="00FD69F5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283 650</w:t>
            </w:r>
          </w:p>
          <w:p w14:paraId="24AB39BB" w14:textId="77777777" w:rsidR="000C53F9" w:rsidRPr="001F41DF" w:rsidRDefault="000C53F9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7D29406" w14:textId="77777777" w:rsidR="000C53F9" w:rsidRPr="003040DC" w:rsidRDefault="000C53F9" w:rsidP="008F1E55"/>
        </w:tc>
      </w:tr>
      <w:tr w:rsidR="000C53F9" w:rsidRPr="003040DC" w14:paraId="3482BA6B" w14:textId="77777777" w:rsidTr="001F41DF">
        <w:trPr>
          <w:gridAfter w:val="2"/>
          <w:wAfter w:w="1493" w:type="dxa"/>
          <w:trHeight w:hRule="exact" w:val="291"/>
        </w:trPr>
        <w:tc>
          <w:tcPr>
            <w:tcW w:w="851" w:type="dxa"/>
            <w:gridSpan w:val="12"/>
          </w:tcPr>
          <w:p w14:paraId="50FB676D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57BBB170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69304A8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283 800</w:t>
            </w:r>
          </w:p>
          <w:p w14:paraId="61267B3E" w14:textId="77777777" w:rsidR="000C53F9" w:rsidRPr="001F41DF" w:rsidRDefault="000C53F9" w:rsidP="000C53F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1C52EE0A" w14:textId="77777777" w:rsidR="000C53F9" w:rsidRPr="003040DC" w:rsidRDefault="000C53F9" w:rsidP="008F1E55"/>
        </w:tc>
      </w:tr>
      <w:tr w:rsidR="000C53F9" w:rsidRPr="003040DC" w14:paraId="3141AFA9" w14:textId="77777777" w:rsidTr="001F41DF">
        <w:trPr>
          <w:gridAfter w:val="2"/>
          <w:wAfter w:w="1493" w:type="dxa"/>
          <w:trHeight w:hRule="exact" w:val="281"/>
        </w:trPr>
        <w:tc>
          <w:tcPr>
            <w:tcW w:w="851" w:type="dxa"/>
            <w:gridSpan w:val="12"/>
          </w:tcPr>
          <w:p w14:paraId="16366AF9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40B28C9A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CC8C7FD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292 150 </w:t>
            </w:r>
          </w:p>
          <w:p w14:paraId="5DACF8CB" w14:textId="77777777" w:rsidR="000C53F9" w:rsidRPr="001F41DF" w:rsidRDefault="000C53F9" w:rsidP="000C53F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4FD17350" w14:textId="77777777" w:rsidR="000C53F9" w:rsidRPr="003040DC" w:rsidRDefault="000C53F9"/>
        </w:tc>
      </w:tr>
      <w:tr w:rsidR="000C53F9" w:rsidRPr="003040DC" w14:paraId="5AC00869" w14:textId="77777777" w:rsidTr="001F41DF">
        <w:trPr>
          <w:gridAfter w:val="2"/>
          <w:wAfter w:w="1493" w:type="dxa"/>
          <w:trHeight w:hRule="exact" w:val="277"/>
        </w:trPr>
        <w:tc>
          <w:tcPr>
            <w:tcW w:w="851" w:type="dxa"/>
            <w:gridSpan w:val="12"/>
          </w:tcPr>
          <w:p w14:paraId="3FFCB9F1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5D761A55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6DD092C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284 000</w:t>
            </w:r>
          </w:p>
          <w:p w14:paraId="38B58BBE" w14:textId="77777777" w:rsidR="000C53F9" w:rsidRPr="001F41DF" w:rsidRDefault="000C53F9" w:rsidP="000C53F9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7BEB8B0" w14:textId="77777777" w:rsidR="000C53F9" w:rsidRPr="003040DC" w:rsidRDefault="000C53F9" w:rsidP="008F1E55"/>
        </w:tc>
      </w:tr>
      <w:tr w:rsidR="00AA4EBF" w:rsidRPr="003040DC" w14:paraId="308DE2EE" w14:textId="77777777" w:rsidTr="00387A2C">
        <w:trPr>
          <w:trHeight w:hRule="exact" w:val="270"/>
        </w:trPr>
        <w:tc>
          <w:tcPr>
            <w:tcW w:w="426" w:type="dxa"/>
            <w:gridSpan w:val="7"/>
          </w:tcPr>
          <w:p w14:paraId="140F8122" w14:textId="77777777" w:rsidR="001F5E28" w:rsidRPr="00A6615D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17.</w:t>
            </w:r>
            <w:r w:rsidR="00136718"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11"/>
          </w:tcPr>
          <w:p w14:paraId="31D9B8CA" w14:textId="77777777" w:rsidR="00387A2C" w:rsidRPr="001F41DF" w:rsidRDefault="00387A2C" w:rsidP="00387A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стандарта МСФО(IAS) 27 «Отдельная финансовая отчетность»:</w:t>
            </w:r>
          </w:p>
          <w:p w14:paraId="0892E325" w14:textId="77777777" w:rsidR="001F5E28" w:rsidRPr="001F41DF" w:rsidRDefault="001F5E28" w:rsidP="0056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0620BA0B" w14:textId="77777777" w:rsidR="0012248B" w:rsidRPr="003040DC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3040DC" w14:paraId="63394022" w14:textId="77777777" w:rsidTr="00E128AF">
        <w:trPr>
          <w:gridAfter w:val="2"/>
          <w:wAfter w:w="1493" w:type="dxa"/>
          <w:trHeight w:hRule="exact" w:val="80"/>
        </w:trPr>
        <w:tc>
          <w:tcPr>
            <w:tcW w:w="20" w:type="dxa"/>
          </w:tcPr>
          <w:p w14:paraId="4E47A15F" w14:textId="77777777" w:rsidR="001F5E28" w:rsidRPr="00A6615D" w:rsidRDefault="001F5E28" w:rsidP="008F1E55"/>
        </w:tc>
        <w:tc>
          <w:tcPr>
            <w:tcW w:w="10138" w:type="dxa"/>
            <w:gridSpan w:val="20"/>
          </w:tcPr>
          <w:p w14:paraId="2D069C58" w14:textId="77777777" w:rsidR="00CC2759" w:rsidRPr="001F41DF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A5D8" w14:textId="77777777" w:rsidR="00CC2759" w:rsidRPr="001F41DF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F536A" w14:textId="77777777" w:rsidR="00CC2759" w:rsidRPr="001F41DF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04C5" w14:textId="77777777" w:rsidR="00CC2759" w:rsidRPr="001F41DF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A567" w14:textId="77777777" w:rsidR="00CC2759" w:rsidRPr="001F41DF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1DDC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gridSpan w:val="2"/>
          </w:tcPr>
          <w:p w14:paraId="523F58AA" w14:textId="77777777" w:rsidR="001F5E28" w:rsidRPr="003040DC" w:rsidRDefault="001F5E28" w:rsidP="008F1E55"/>
        </w:tc>
      </w:tr>
      <w:tr w:rsidR="000C53F9" w:rsidRPr="003040DC" w14:paraId="0CEDE28F" w14:textId="77777777" w:rsidTr="001F41DF">
        <w:trPr>
          <w:gridAfter w:val="3"/>
          <w:wAfter w:w="1528" w:type="dxa"/>
          <w:trHeight w:hRule="exact" w:val="1182"/>
        </w:trPr>
        <w:tc>
          <w:tcPr>
            <w:tcW w:w="851" w:type="dxa"/>
            <w:gridSpan w:val="12"/>
          </w:tcPr>
          <w:p w14:paraId="265E320B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06B293BC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0BDA4E92" w14:textId="77777777" w:rsidR="00387A2C" w:rsidRPr="001F41DF" w:rsidRDefault="00387A2C" w:rsidP="00387A2C">
            <w:pPr>
              <w:widowControl w:val="0"/>
              <w:tabs>
                <w:tab w:val="left" w:pos="4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требования к предприятию о раскрытии информации, которая позволяет пользователям его финансовой отчетности оценить характер его участия в других предприятиях и связанные с ним риски и оценить влияние такого участия на его финансовое положение, финансовые результаты и потоки денежных средств;</w:t>
            </w:r>
          </w:p>
          <w:p w14:paraId="5104DE27" w14:textId="77777777" w:rsidR="000C53F9" w:rsidRPr="001F41DF" w:rsidRDefault="000C53F9" w:rsidP="000C5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42CB50F7" w14:textId="77777777" w:rsidR="000C53F9" w:rsidRPr="003040DC" w:rsidRDefault="000C53F9" w:rsidP="008F1E55"/>
        </w:tc>
      </w:tr>
      <w:tr w:rsidR="000C53F9" w:rsidRPr="003040DC" w14:paraId="464BEEB0" w14:textId="77777777" w:rsidTr="001F41DF">
        <w:trPr>
          <w:gridAfter w:val="3"/>
          <w:wAfter w:w="1528" w:type="dxa"/>
          <w:trHeight w:hRule="exact" w:val="844"/>
        </w:trPr>
        <w:tc>
          <w:tcPr>
            <w:tcW w:w="851" w:type="dxa"/>
            <w:gridSpan w:val="12"/>
          </w:tcPr>
          <w:p w14:paraId="1D193EB9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6C881094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AF0E1A5" w14:textId="77777777" w:rsidR="00387A2C" w:rsidRPr="001F41DF" w:rsidRDefault="00387A2C" w:rsidP="00387A2C">
            <w:pPr>
              <w:widowControl w:val="0"/>
              <w:tabs>
                <w:tab w:val="left" w:pos="4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определить правила учета инвестиций в ассоциированные предприятия и установить требования по применению метода долевого участия при учете инвестиций в ассоциированные и совместные предприятия</w:t>
            </w: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0D55BA" w14:textId="77777777" w:rsidR="000C53F9" w:rsidRPr="001F41DF" w:rsidRDefault="000C53F9" w:rsidP="000C5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089E91CC" w14:textId="77777777" w:rsidR="000C53F9" w:rsidRPr="003040DC" w:rsidRDefault="000C53F9" w:rsidP="008F1E55"/>
        </w:tc>
      </w:tr>
      <w:tr w:rsidR="000C53F9" w:rsidRPr="003040DC" w14:paraId="4E0E90DD" w14:textId="77777777" w:rsidTr="001F41DF">
        <w:trPr>
          <w:gridAfter w:val="3"/>
          <w:wAfter w:w="1528" w:type="dxa"/>
          <w:trHeight w:hRule="exact" w:val="857"/>
        </w:trPr>
        <w:tc>
          <w:tcPr>
            <w:tcW w:w="851" w:type="dxa"/>
            <w:gridSpan w:val="12"/>
          </w:tcPr>
          <w:p w14:paraId="6A10BCE3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1F2B4056" w14:textId="77777777" w:rsidR="000C53F9" w:rsidRPr="001F41DF" w:rsidRDefault="000C53F9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94FDDFC" w14:textId="77777777" w:rsidR="00387A2C" w:rsidRPr="001F41DF" w:rsidRDefault="00387A2C" w:rsidP="00387A2C">
            <w:pPr>
              <w:widowControl w:val="0"/>
              <w:tabs>
                <w:tab w:val="left" w:pos="4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принципов представления и подготовки консолидированной финансовой отчетности в тех случаях, когда предприятие контролирует одно или несколько других предприятий;</w:t>
            </w:r>
          </w:p>
          <w:p w14:paraId="6803F5F8" w14:textId="77777777" w:rsidR="000C53F9" w:rsidRPr="001F41DF" w:rsidRDefault="000C53F9" w:rsidP="000C53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7B001ABC" w14:textId="77777777" w:rsidR="000C53F9" w:rsidRPr="003040DC" w:rsidRDefault="000C53F9" w:rsidP="0087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F9" w:rsidRPr="003040DC" w14:paraId="4C2E408B" w14:textId="77777777" w:rsidTr="001F41DF">
        <w:trPr>
          <w:gridAfter w:val="3"/>
          <w:wAfter w:w="1528" w:type="dxa"/>
          <w:trHeight w:hRule="exact" w:val="854"/>
        </w:trPr>
        <w:tc>
          <w:tcPr>
            <w:tcW w:w="851" w:type="dxa"/>
            <w:gridSpan w:val="12"/>
          </w:tcPr>
          <w:p w14:paraId="1FD83DC9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45C71725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01CFB917" w14:textId="77777777" w:rsidR="00387A2C" w:rsidRPr="001F41DF" w:rsidRDefault="00387A2C" w:rsidP="00387A2C">
            <w:pPr>
              <w:widowControl w:val="0"/>
              <w:tabs>
                <w:tab w:val="left" w:pos="4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правила учета и раскрытия информации в отношении инвестиций в дочерние, совместные и ассоциированные предприятия при подготовке предприятием отдельной финансовой отчетности</w:t>
            </w:r>
          </w:p>
          <w:p w14:paraId="18FC683F" w14:textId="77777777" w:rsidR="000C53F9" w:rsidRPr="001F41DF" w:rsidRDefault="000C53F9" w:rsidP="002F5870"/>
        </w:tc>
        <w:tc>
          <w:tcPr>
            <w:tcW w:w="377" w:type="dxa"/>
            <w:gridSpan w:val="4"/>
          </w:tcPr>
          <w:p w14:paraId="2637F7E8" w14:textId="77777777" w:rsidR="000C53F9" w:rsidRPr="003040DC" w:rsidRDefault="000C53F9" w:rsidP="008F1E55"/>
        </w:tc>
      </w:tr>
      <w:tr w:rsidR="005676DC" w:rsidRPr="003040DC" w14:paraId="1347B99D" w14:textId="77777777" w:rsidTr="00153BA7">
        <w:trPr>
          <w:gridAfter w:val="5"/>
          <w:wAfter w:w="1836" w:type="dxa"/>
          <w:trHeight w:hRule="exact" w:val="263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56EF65B" w14:textId="77777777" w:rsidR="005676DC" w:rsidRPr="00A6615D" w:rsidRDefault="005676DC" w:rsidP="007F69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97" w:type="dxa"/>
            <w:gridSpan w:val="4"/>
          </w:tcPr>
          <w:p w14:paraId="2CEDBD14" w14:textId="77777777" w:rsidR="005676DC" w:rsidRPr="001F41DF" w:rsidRDefault="005676DC" w:rsidP="007F69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377B6EB3" w14:textId="77777777" w:rsidR="00F84F9C" w:rsidRPr="001F41DF" w:rsidRDefault="00F84F9C" w:rsidP="00F84F9C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 какой из перечисленных ниже статьей убыток от обесценения никогда не должен быть восстановлен:</w:t>
            </w:r>
          </w:p>
          <w:p w14:paraId="155298FB" w14:textId="77777777" w:rsidR="005676DC" w:rsidRPr="001F41DF" w:rsidRDefault="005676DC" w:rsidP="007F69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1CC38165" w14:textId="77777777" w:rsidR="005676DC" w:rsidRPr="003040DC" w:rsidRDefault="005676DC" w:rsidP="009859F3">
            <w:pPr>
              <w:widowControl w:val="0"/>
              <w:tabs>
                <w:tab w:val="left" w:pos="2544"/>
              </w:tabs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76DC" w:rsidRPr="003040DC" w14:paraId="73DC3BAF" w14:textId="77777777" w:rsidTr="00153BA7">
        <w:trPr>
          <w:gridAfter w:val="5"/>
          <w:wAfter w:w="1836" w:type="dxa"/>
          <w:trHeight w:hRule="exact" w:val="80"/>
        </w:trPr>
        <w:tc>
          <w:tcPr>
            <w:tcW w:w="455" w:type="dxa"/>
            <w:gridSpan w:val="8"/>
          </w:tcPr>
          <w:p w14:paraId="41A87F2C" w14:textId="77777777" w:rsidR="005676DC" w:rsidRPr="001F41DF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/>
          </w:tcPr>
          <w:p w14:paraId="78238B3B" w14:textId="77777777" w:rsidR="005676DC" w:rsidRPr="001F41DF" w:rsidRDefault="005676D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06A144E2" w14:textId="77777777" w:rsidR="005676DC" w:rsidRPr="003040DC" w:rsidRDefault="005676DC" w:rsidP="009859F3">
            <w:pPr>
              <w:widowControl w:val="0"/>
              <w:tabs>
                <w:tab w:val="left" w:pos="2544"/>
              </w:tabs>
              <w:rPr>
                <w:rFonts w:ascii="Times New Roman" w:hAnsi="Times New Roman"/>
                <w:b/>
                <w:sz w:val="6"/>
              </w:rPr>
            </w:pPr>
          </w:p>
        </w:tc>
      </w:tr>
      <w:tr w:rsidR="001F5E28" w:rsidRPr="003040DC" w14:paraId="25456F9A" w14:textId="77777777" w:rsidTr="00153BA7">
        <w:trPr>
          <w:gridAfter w:val="5"/>
          <w:wAfter w:w="1836" w:type="dxa"/>
          <w:trHeight w:hRule="exact" w:val="80"/>
        </w:trPr>
        <w:tc>
          <w:tcPr>
            <w:tcW w:w="455" w:type="dxa"/>
            <w:gridSpan w:val="8"/>
          </w:tcPr>
          <w:p w14:paraId="62EAA182" w14:textId="77777777" w:rsidR="001F5E28" w:rsidRPr="001F41D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/>
          </w:tcPr>
          <w:p w14:paraId="5E42D8A8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457E9C78" w14:textId="77777777" w:rsidR="001F5E28" w:rsidRPr="003040DC" w:rsidRDefault="001F5E28" w:rsidP="008F1E55"/>
        </w:tc>
      </w:tr>
      <w:tr w:rsidR="001F5E28" w:rsidRPr="003040DC" w14:paraId="2901495F" w14:textId="77777777" w:rsidTr="00F84F9C">
        <w:trPr>
          <w:gridAfter w:val="5"/>
          <w:wAfter w:w="1836" w:type="dxa"/>
          <w:trHeight w:hRule="exact" w:val="163"/>
        </w:trPr>
        <w:tc>
          <w:tcPr>
            <w:tcW w:w="455" w:type="dxa"/>
            <w:gridSpan w:val="8"/>
          </w:tcPr>
          <w:p w14:paraId="73D72FC6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2150AE0D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2F31EA96" w14:textId="77777777" w:rsidR="001F5E28" w:rsidRPr="003040DC" w:rsidRDefault="001F5E28" w:rsidP="008F1E55"/>
        </w:tc>
      </w:tr>
      <w:tr w:rsidR="000C53F9" w:rsidRPr="003040DC" w14:paraId="2C3CABD4" w14:textId="77777777" w:rsidTr="001F41DF">
        <w:trPr>
          <w:gridAfter w:val="5"/>
          <w:wAfter w:w="1836" w:type="dxa"/>
          <w:trHeight w:hRule="exact" w:val="278"/>
        </w:trPr>
        <w:tc>
          <w:tcPr>
            <w:tcW w:w="851" w:type="dxa"/>
            <w:gridSpan w:val="12"/>
          </w:tcPr>
          <w:p w14:paraId="316882ED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11738788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823202F" w14:textId="77777777" w:rsidR="00F84F9C" w:rsidRPr="001F41DF" w:rsidRDefault="00F84F9C" w:rsidP="00F84F9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основным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средствам</w:t>
            </w:r>
            <w:proofErr w:type="spellEnd"/>
          </w:p>
          <w:p w14:paraId="16967242" w14:textId="77777777" w:rsidR="000C53F9" w:rsidRPr="001F41DF" w:rsidRDefault="000C53F9" w:rsidP="000C53F9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24AA16E2" w14:textId="77777777" w:rsidR="000C53F9" w:rsidRPr="003040DC" w:rsidRDefault="000C53F9" w:rsidP="008F1E55"/>
        </w:tc>
      </w:tr>
      <w:tr w:rsidR="000C53F9" w:rsidRPr="003040DC" w14:paraId="7BD84800" w14:textId="77777777" w:rsidTr="001F41DF">
        <w:trPr>
          <w:gridAfter w:val="5"/>
          <w:wAfter w:w="1836" w:type="dxa"/>
          <w:trHeight w:hRule="exact" w:val="267"/>
        </w:trPr>
        <w:tc>
          <w:tcPr>
            <w:tcW w:w="851" w:type="dxa"/>
            <w:gridSpan w:val="12"/>
          </w:tcPr>
          <w:p w14:paraId="2E98A1AF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307F7CDC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B.  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5E5C5F0" w14:textId="77777777" w:rsidR="00F84F9C" w:rsidRPr="001F41DF" w:rsidRDefault="00F84F9C" w:rsidP="00F84F9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запасам</w:t>
            </w:r>
            <w:proofErr w:type="spellEnd"/>
          </w:p>
          <w:p w14:paraId="7AE73CA2" w14:textId="77777777" w:rsidR="000C53F9" w:rsidRPr="001F41DF" w:rsidRDefault="000C53F9" w:rsidP="000C53F9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140E18C0" w14:textId="77777777" w:rsidR="000C53F9" w:rsidRPr="003040DC" w:rsidRDefault="000C53F9" w:rsidP="008F1E55"/>
        </w:tc>
      </w:tr>
      <w:tr w:rsidR="000C53F9" w:rsidRPr="003040DC" w14:paraId="4983A862" w14:textId="77777777" w:rsidTr="001F41DF">
        <w:trPr>
          <w:gridAfter w:val="5"/>
          <w:wAfter w:w="1836" w:type="dxa"/>
          <w:trHeight w:hRule="exact" w:val="285"/>
        </w:trPr>
        <w:tc>
          <w:tcPr>
            <w:tcW w:w="851" w:type="dxa"/>
            <w:gridSpan w:val="12"/>
          </w:tcPr>
          <w:p w14:paraId="334F286E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7ECEC452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C.   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D4E7F1D" w14:textId="77777777" w:rsidR="00F84F9C" w:rsidRPr="001F41DF" w:rsidRDefault="00F84F9C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По гудвиллу</w:t>
            </w:r>
          </w:p>
          <w:p w14:paraId="276F6928" w14:textId="77777777" w:rsidR="000C53F9" w:rsidRPr="001F41DF" w:rsidRDefault="000C53F9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7821F367" w14:textId="77777777" w:rsidR="000C53F9" w:rsidRPr="003040DC" w:rsidRDefault="000C53F9" w:rsidP="008F1E55"/>
        </w:tc>
      </w:tr>
      <w:tr w:rsidR="000C53F9" w:rsidRPr="003040DC" w14:paraId="61ABB355" w14:textId="77777777" w:rsidTr="001F41DF">
        <w:trPr>
          <w:gridAfter w:val="5"/>
          <w:wAfter w:w="1836" w:type="dxa"/>
          <w:trHeight w:hRule="exact" w:val="431"/>
        </w:trPr>
        <w:tc>
          <w:tcPr>
            <w:tcW w:w="851" w:type="dxa"/>
            <w:gridSpan w:val="12"/>
          </w:tcPr>
          <w:p w14:paraId="5ADF9C14" w14:textId="77777777" w:rsidR="000C53F9" w:rsidRPr="001F41DF" w:rsidRDefault="000C53F9" w:rsidP="008F1E55"/>
        </w:tc>
        <w:tc>
          <w:tcPr>
            <w:tcW w:w="425" w:type="dxa"/>
            <w:gridSpan w:val="2"/>
            <w:shd w:val="clear" w:color="auto" w:fill="auto"/>
          </w:tcPr>
          <w:p w14:paraId="4F739B5C" w14:textId="77777777" w:rsidR="000C53F9" w:rsidRPr="001F41DF" w:rsidRDefault="000C53F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11BE813" w14:textId="77777777" w:rsidR="00F84F9C" w:rsidRPr="001F41DF" w:rsidRDefault="00F84F9C" w:rsidP="00F84F9C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сегменту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бизнеса</w:t>
            </w:r>
            <w:proofErr w:type="spellEnd"/>
          </w:p>
          <w:p w14:paraId="46A2D79A" w14:textId="77777777" w:rsidR="000C53F9" w:rsidRPr="001F41DF" w:rsidRDefault="000C53F9" w:rsidP="000C53F9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7035F959" w14:textId="77777777" w:rsidR="000C53F9" w:rsidRPr="003040DC" w:rsidRDefault="000C53F9" w:rsidP="008F1E55"/>
        </w:tc>
      </w:tr>
      <w:tr w:rsidR="002F03AF" w:rsidRPr="003040DC" w14:paraId="2AABE79F" w14:textId="77777777" w:rsidTr="00FD69F5">
        <w:trPr>
          <w:gridAfter w:val="5"/>
          <w:wAfter w:w="1836" w:type="dxa"/>
          <w:trHeight w:hRule="exact" w:val="3974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130BA237" w14:textId="77777777" w:rsidR="002F03AF" w:rsidRPr="00A6615D" w:rsidRDefault="002F03A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7" w:type="dxa"/>
            <w:gridSpan w:val="4"/>
          </w:tcPr>
          <w:p w14:paraId="405AE5C2" w14:textId="77777777" w:rsidR="002F03AF" w:rsidRPr="001F41DF" w:rsidRDefault="002F03AF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610" w:type="dxa"/>
            <w:gridSpan w:val="10"/>
          </w:tcPr>
          <w:p w14:paraId="7A2D0BC7" w14:textId="77777777" w:rsidR="00FD69F5" w:rsidRPr="001F41DF" w:rsidRDefault="00FD69F5" w:rsidP="00FD69F5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Индивидуальный  предприниматель  устанавливает  цены  в  размере  двойной себестоимости. Все покупатели сразу оплачивают приобретенные товары в кассу. Информация об операциях за март 2017г. приведена ниже:</w:t>
            </w:r>
          </w:p>
          <w:tbl>
            <w:tblPr>
              <w:tblpPr w:leftFromText="180" w:rightFromText="180" w:vertAnchor="text" w:horzAnchor="margin" w:tblpXSpec="center" w:tblpY="72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83"/>
              <w:gridCol w:w="2012"/>
            </w:tblGrid>
            <w:tr w:rsidR="00FD69F5" w:rsidRPr="001F41DF" w14:paraId="69F7C6BC" w14:textId="77777777" w:rsidTr="00FD69F5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2D29DC5D" w14:textId="77777777" w:rsidR="00FD69F5" w:rsidRPr="001F41DF" w:rsidRDefault="00FD69F5" w:rsidP="00FD69F5">
                  <w:pPr>
                    <w:widowControl w:val="0"/>
                    <w:rPr>
                      <w:rFonts w:ascii="Calibri" w:eastAsia="Times New Roman" w:hAnsi="Calibri" w:cs="Calibri"/>
                      <w:sz w:val="22"/>
                      <w:lang w:eastAsia="en-US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39F7940F" w14:textId="77777777" w:rsidR="00FD69F5" w:rsidRPr="001F41DF" w:rsidRDefault="00FD69F5" w:rsidP="00FD69F5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lang w:eastAsia="en-US"/>
                    </w:rPr>
                    <w:t>тенге</w:t>
                  </w:r>
                </w:p>
              </w:tc>
            </w:tr>
            <w:tr w:rsidR="00FD69F5" w:rsidRPr="001F41DF" w14:paraId="082A1104" w14:textId="77777777" w:rsidTr="00FD69F5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618FF87B" w14:textId="77777777" w:rsidR="00FD69F5" w:rsidRPr="001F41DF" w:rsidRDefault="00FD69F5" w:rsidP="00FD69F5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Запасы на начало месяца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6B3C6CE2" w14:textId="77777777" w:rsidR="00FD69F5" w:rsidRPr="001F41DF" w:rsidRDefault="00FD69F5" w:rsidP="00FD69F5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40 000</w:t>
                  </w:r>
                </w:p>
              </w:tc>
            </w:tr>
            <w:tr w:rsidR="00FD69F5" w:rsidRPr="001F41DF" w14:paraId="0F263FE0" w14:textId="77777777" w:rsidTr="00FD69F5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50DB841E" w14:textId="77777777" w:rsidR="00FD69F5" w:rsidRPr="001F41DF" w:rsidRDefault="00FD69F5" w:rsidP="00FD69F5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Закупки за месяц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10685F8C" w14:textId="77777777" w:rsidR="00FD69F5" w:rsidRPr="001F41DF" w:rsidRDefault="00FD69F5" w:rsidP="00FD69F5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60 000</w:t>
                  </w:r>
                </w:p>
              </w:tc>
            </w:tr>
            <w:tr w:rsidR="00FD69F5" w:rsidRPr="001F41DF" w14:paraId="2A2E299E" w14:textId="77777777" w:rsidTr="00FD69F5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496D28D3" w14:textId="77777777" w:rsidR="00FD69F5" w:rsidRPr="001F41DF" w:rsidRDefault="00FD69F5" w:rsidP="00FD69F5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Выручка за месяц, сданная в банк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7BC4062F" w14:textId="77777777" w:rsidR="00FD69F5" w:rsidRPr="001F41DF" w:rsidRDefault="00FD69F5" w:rsidP="00FD69F5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95 000</w:t>
                  </w:r>
                </w:p>
              </w:tc>
            </w:tr>
            <w:tr w:rsidR="00FD69F5" w:rsidRPr="001F41DF" w14:paraId="7A982B63" w14:textId="77777777" w:rsidTr="00FD69F5">
              <w:trPr>
                <w:trHeight w:val="1"/>
              </w:trPr>
              <w:tc>
                <w:tcPr>
                  <w:tcW w:w="56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47FF65A5" w14:textId="77777777" w:rsidR="00FD69F5" w:rsidRPr="001F41DF" w:rsidRDefault="00FD69F5" w:rsidP="00FD69F5">
                  <w:pPr>
                    <w:widowControl w:val="0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Запасы на конец месяца</w:t>
                  </w:r>
                </w:p>
              </w:tc>
              <w:tc>
                <w:tcPr>
                  <w:tcW w:w="2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tcMar>
                    <w:left w:w="40" w:type="dxa"/>
                    <w:right w:w="40" w:type="dxa"/>
                  </w:tcMar>
                </w:tcPr>
                <w:p w14:paraId="2BEB3D37" w14:textId="77777777" w:rsidR="00FD69F5" w:rsidRPr="001F41DF" w:rsidRDefault="00FD69F5" w:rsidP="00FD69F5">
                  <w:pPr>
                    <w:widowControl w:val="0"/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1F41DF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50 000</w:t>
                  </w:r>
                </w:p>
              </w:tc>
            </w:tr>
          </w:tbl>
          <w:p w14:paraId="3AC56EF3" w14:textId="77777777" w:rsidR="00FD69F5" w:rsidRPr="001F41DF" w:rsidRDefault="00FD69F5" w:rsidP="00FD69F5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433E2F07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439EF5B6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44451C9C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2A67702E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5D475094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  <w:p w14:paraId="13EB1CA1" w14:textId="77777777" w:rsidR="00FD69F5" w:rsidRPr="001F41DF" w:rsidRDefault="00FD69F5" w:rsidP="00FD69F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  Какое из следующих событий само по себе могло привести к таким показателям?</w:t>
            </w:r>
          </w:p>
          <w:p w14:paraId="3DB5FE51" w14:textId="77777777" w:rsidR="00FD69F5" w:rsidRPr="001F41DF" w:rsidRDefault="00FD69F5" w:rsidP="00AE1C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5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 были украдены из кассы до того, как выручка была сдана в банк</w:t>
            </w:r>
          </w:p>
          <w:p w14:paraId="09EA3B40" w14:textId="77777777" w:rsidR="00FD69F5" w:rsidRPr="001F41DF" w:rsidRDefault="00FD69F5" w:rsidP="00AE1C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Имело место воровство товаров себестоимостью 5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</w:t>
            </w:r>
          </w:p>
          <w:p w14:paraId="79EFC736" w14:textId="77777777" w:rsidR="00FD69F5" w:rsidRPr="001F41DF" w:rsidRDefault="00FD69F5" w:rsidP="00AE1C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Имело место воровство товаров себестоимостью 2 500 тенге</w:t>
            </w:r>
          </w:p>
          <w:p w14:paraId="7EBA4EF6" w14:textId="77777777" w:rsidR="00FD69F5" w:rsidRPr="001F41DF" w:rsidRDefault="00FD69F5" w:rsidP="00AE1C8C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Часть товаров было подано по себестоимости, составлявшей 2 500 тенге</w:t>
            </w:r>
          </w:p>
          <w:p w14:paraId="4C742662" w14:textId="77777777" w:rsidR="002F03AF" w:rsidRPr="001F41DF" w:rsidRDefault="002F03AF"/>
        </w:tc>
        <w:tc>
          <w:tcPr>
            <w:tcW w:w="69" w:type="dxa"/>
            <w:gridSpan w:val="2"/>
          </w:tcPr>
          <w:p w14:paraId="1EF1508D" w14:textId="77777777" w:rsidR="002F03AF" w:rsidRDefault="002F03AF"/>
        </w:tc>
      </w:tr>
      <w:tr w:rsidR="00192206" w:rsidRPr="003040DC" w14:paraId="359613C0" w14:textId="77777777" w:rsidTr="001F41DF">
        <w:trPr>
          <w:gridAfter w:val="5"/>
          <w:wAfter w:w="1836" w:type="dxa"/>
          <w:trHeight w:hRule="exact" w:val="341"/>
        </w:trPr>
        <w:tc>
          <w:tcPr>
            <w:tcW w:w="851" w:type="dxa"/>
            <w:gridSpan w:val="12"/>
          </w:tcPr>
          <w:p w14:paraId="1FE193A8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2BEA6627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A5DC301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2 </w:t>
            </w:r>
          </w:p>
          <w:p w14:paraId="5A0ED939" w14:textId="77777777" w:rsidR="00192206" w:rsidRPr="001F41DF" w:rsidRDefault="00192206" w:rsidP="0019220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06B05413" w14:textId="77777777" w:rsidR="00192206" w:rsidRPr="003040DC" w:rsidRDefault="00192206" w:rsidP="008F1E55"/>
        </w:tc>
      </w:tr>
      <w:tr w:rsidR="00192206" w:rsidRPr="003040DC" w14:paraId="45D438AB" w14:textId="77777777" w:rsidTr="001F41DF">
        <w:trPr>
          <w:gridAfter w:val="5"/>
          <w:wAfter w:w="1836" w:type="dxa"/>
          <w:trHeight w:hRule="exact" w:val="276"/>
        </w:trPr>
        <w:tc>
          <w:tcPr>
            <w:tcW w:w="851" w:type="dxa"/>
            <w:gridSpan w:val="12"/>
          </w:tcPr>
          <w:p w14:paraId="59808517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327EA31D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3F446E9F" w14:textId="77777777" w:rsidR="00FD69F5" w:rsidRPr="001F41DF" w:rsidRDefault="00FD69F5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 xml:space="preserve">1 и 3 </w:t>
            </w:r>
          </w:p>
          <w:p w14:paraId="3F54907F" w14:textId="77777777" w:rsidR="00192206" w:rsidRPr="001F41DF" w:rsidRDefault="00192206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2A381D99" w14:textId="77777777" w:rsidR="00192206" w:rsidRPr="003040DC" w:rsidRDefault="00192206" w:rsidP="008F1E55"/>
        </w:tc>
      </w:tr>
      <w:tr w:rsidR="00192206" w:rsidRPr="003040DC" w14:paraId="2C0F49D9" w14:textId="77777777" w:rsidTr="001F41DF">
        <w:trPr>
          <w:gridAfter w:val="5"/>
          <w:wAfter w:w="1836" w:type="dxa"/>
          <w:trHeight w:hRule="exact" w:val="240"/>
        </w:trPr>
        <w:tc>
          <w:tcPr>
            <w:tcW w:w="851" w:type="dxa"/>
            <w:gridSpan w:val="12"/>
          </w:tcPr>
          <w:p w14:paraId="798ED9E6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784A4E54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5ABDD6E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 и 4 </w:t>
            </w:r>
          </w:p>
          <w:p w14:paraId="3D5ABAF9" w14:textId="77777777" w:rsidR="00E301DC" w:rsidRPr="001F41DF" w:rsidRDefault="00E301DC" w:rsidP="00E301D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  <w:p w14:paraId="5CC3BF84" w14:textId="77777777" w:rsidR="00192206" w:rsidRPr="001F41DF" w:rsidRDefault="00192206" w:rsidP="00192206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5C971BB8" w14:textId="77777777" w:rsidR="00192206" w:rsidRPr="003040DC" w:rsidRDefault="00192206" w:rsidP="008F1E55"/>
        </w:tc>
      </w:tr>
      <w:tr w:rsidR="00011E9A" w:rsidRPr="003040DC" w14:paraId="2E0AE987" w14:textId="77777777" w:rsidTr="001F41DF">
        <w:trPr>
          <w:gridAfter w:val="5"/>
          <w:wAfter w:w="1836" w:type="dxa"/>
          <w:trHeight w:hRule="exact" w:val="281"/>
        </w:trPr>
        <w:tc>
          <w:tcPr>
            <w:tcW w:w="851" w:type="dxa"/>
            <w:gridSpan w:val="12"/>
          </w:tcPr>
          <w:p w14:paraId="6190C1CD" w14:textId="77777777" w:rsidR="00011E9A" w:rsidRPr="001F41DF" w:rsidRDefault="00011E9A" w:rsidP="008F1E55"/>
        </w:tc>
        <w:tc>
          <w:tcPr>
            <w:tcW w:w="425" w:type="dxa"/>
            <w:gridSpan w:val="2"/>
            <w:shd w:val="clear" w:color="auto" w:fill="auto"/>
          </w:tcPr>
          <w:p w14:paraId="0967C99D" w14:textId="77777777" w:rsidR="00011E9A" w:rsidRPr="001F41DF" w:rsidRDefault="00011E9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6DAE5457" w14:textId="77777777" w:rsidR="00FD69F5" w:rsidRPr="001F41DF" w:rsidRDefault="00FD69F5" w:rsidP="00FD69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и 4</w:t>
            </w:r>
          </w:p>
          <w:p w14:paraId="53E6724F" w14:textId="77777777" w:rsidR="00011E9A" w:rsidRPr="001F41DF" w:rsidRDefault="00011E9A" w:rsidP="00011E9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4ABC1F55" w14:textId="77777777" w:rsidR="00011E9A" w:rsidRPr="003040DC" w:rsidRDefault="00011E9A" w:rsidP="008F1E55"/>
        </w:tc>
      </w:tr>
      <w:tr w:rsidR="001F5E28" w:rsidRPr="003040DC" w14:paraId="7DD1D4A9" w14:textId="77777777" w:rsidTr="00267058">
        <w:trPr>
          <w:gridAfter w:val="5"/>
          <w:wAfter w:w="1836" w:type="dxa"/>
          <w:trHeight w:hRule="exact" w:val="27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73ADBE3A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97" w:type="dxa"/>
            <w:gridSpan w:val="4"/>
          </w:tcPr>
          <w:p w14:paraId="6B679D45" w14:textId="77777777" w:rsidR="001F5E28" w:rsidRPr="001F41D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10"/>
            <w:vMerge w:val="restart"/>
          </w:tcPr>
          <w:p w14:paraId="010956FB" w14:textId="77777777" w:rsidR="000B5838" w:rsidRPr="001F41DF" w:rsidRDefault="000B5838" w:rsidP="000B5838">
            <w:pPr>
              <w:tabs>
                <w:tab w:val="left" w:pos="607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Затраты, напрямую связанные с приобретением актива, включают:</w:t>
            </w:r>
          </w:p>
          <w:p w14:paraId="5E5A98D9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затраты на содержание персонала, работа которого напрямую связана со строительством или приобретением объекта основных средств;  </w:t>
            </w:r>
          </w:p>
          <w:p w14:paraId="54A6A97A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затраты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подготовку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площадки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18C0A12A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первичные затраты на доставку и разгрузку;</w:t>
            </w:r>
          </w:p>
          <w:p w14:paraId="30F374B1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затраты на установку и монтаж; </w:t>
            </w:r>
          </w:p>
          <w:p w14:paraId="06D07921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затраты на пробный пуск, за вычетом чистых поступлений от пробных образцов товара, или иных доходов; </w:t>
            </w:r>
          </w:p>
          <w:p w14:paraId="06C39DC4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затраты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профессиональные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услуги</w:t>
            </w:r>
            <w:proofErr w:type="spellEnd"/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19881337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затраты на запуск нового продукта или услуги (включая затраты, связанные с рекламой и продвижением продукта/услуги на рынок);</w:t>
            </w:r>
          </w:p>
          <w:p w14:paraId="1455E280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1440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затраты на ведение бизнеса в новом месте или с новым классом клиентов (включая затраты на обучение персонала); </w:t>
            </w:r>
          </w:p>
          <w:p w14:paraId="3DDF00D9" w14:textId="77777777" w:rsidR="000B5838" w:rsidRPr="001F41DF" w:rsidRDefault="000B5838" w:rsidP="00AE1C8C">
            <w:pPr>
              <w:numPr>
                <w:ilvl w:val="0"/>
                <w:numId w:val="3"/>
              </w:numPr>
              <w:tabs>
                <w:tab w:val="left" w:pos="284"/>
                <w:tab w:val="left" w:pos="1440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административные и другие накладные расходы.</w:t>
            </w:r>
          </w:p>
          <w:p w14:paraId="2F304F16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6B56D90E" w14:textId="77777777" w:rsidR="001F5E28" w:rsidRPr="003040DC" w:rsidRDefault="001F5E28" w:rsidP="008F1E55"/>
        </w:tc>
      </w:tr>
      <w:tr w:rsidR="001F5E28" w:rsidRPr="003040DC" w14:paraId="448D80E1" w14:textId="77777777" w:rsidTr="00267058">
        <w:trPr>
          <w:gridAfter w:val="5"/>
          <w:wAfter w:w="1836" w:type="dxa"/>
          <w:trHeight w:hRule="exact" w:val="130"/>
        </w:trPr>
        <w:tc>
          <w:tcPr>
            <w:tcW w:w="455" w:type="dxa"/>
            <w:gridSpan w:val="8"/>
          </w:tcPr>
          <w:p w14:paraId="75D84ADB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05BCB051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32C4D789" w14:textId="77777777" w:rsidR="001F5E28" w:rsidRPr="003040DC" w:rsidRDefault="001F5E28" w:rsidP="008F1E55"/>
        </w:tc>
      </w:tr>
      <w:tr w:rsidR="001F5E28" w:rsidRPr="003040DC" w14:paraId="0049C218" w14:textId="77777777" w:rsidTr="000B5838">
        <w:trPr>
          <w:gridAfter w:val="5"/>
          <w:wAfter w:w="1836" w:type="dxa"/>
          <w:trHeight w:hRule="exact" w:val="3542"/>
        </w:trPr>
        <w:tc>
          <w:tcPr>
            <w:tcW w:w="455" w:type="dxa"/>
            <w:gridSpan w:val="8"/>
          </w:tcPr>
          <w:p w14:paraId="039616FA" w14:textId="77777777" w:rsidR="001F5E28" w:rsidRPr="001F41DF" w:rsidRDefault="001F5E28" w:rsidP="008F1E55"/>
        </w:tc>
        <w:tc>
          <w:tcPr>
            <w:tcW w:w="9610" w:type="dxa"/>
            <w:gridSpan w:val="10"/>
            <w:vMerge/>
          </w:tcPr>
          <w:p w14:paraId="2FFC2321" w14:textId="77777777" w:rsidR="001F5E28" w:rsidRPr="001F41DF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76DC6634" w14:textId="77777777" w:rsidR="001F5E28" w:rsidRPr="003040DC" w:rsidRDefault="001F5E28" w:rsidP="008F1E55"/>
        </w:tc>
      </w:tr>
      <w:tr w:rsidR="00192206" w:rsidRPr="003040DC" w14:paraId="7C3E7319" w14:textId="77777777" w:rsidTr="001F41DF">
        <w:trPr>
          <w:gridAfter w:val="5"/>
          <w:wAfter w:w="1836" w:type="dxa"/>
          <w:trHeight w:hRule="exact" w:val="285"/>
        </w:trPr>
        <w:tc>
          <w:tcPr>
            <w:tcW w:w="851" w:type="dxa"/>
            <w:gridSpan w:val="12"/>
          </w:tcPr>
          <w:p w14:paraId="28A7C718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478DBC49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237D1935" w14:textId="77777777" w:rsidR="000B5838" w:rsidRPr="001F41DF" w:rsidRDefault="000B5838" w:rsidP="001F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1) - 6)</w:t>
            </w:r>
          </w:p>
          <w:p w14:paraId="113CD42F" w14:textId="77777777" w:rsidR="00192206" w:rsidRPr="001F41DF" w:rsidRDefault="00192206" w:rsidP="005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2"/>
          </w:tcPr>
          <w:p w14:paraId="65A4BEF4" w14:textId="77777777" w:rsidR="00192206" w:rsidRPr="003040DC" w:rsidRDefault="00192206" w:rsidP="008F1E55"/>
        </w:tc>
      </w:tr>
      <w:tr w:rsidR="00192206" w:rsidRPr="003040DC" w14:paraId="1624CD36" w14:textId="77777777" w:rsidTr="001F41DF">
        <w:trPr>
          <w:gridAfter w:val="5"/>
          <w:wAfter w:w="1836" w:type="dxa"/>
          <w:trHeight w:hRule="exact" w:val="279"/>
        </w:trPr>
        <w:tc>
          <w:tcPr>
            <w:tcW w:w="851" w:type="dxa"/>
            <w:gridSpan w:val="12"/>
          </w:tcPr>
          <w:p w14:paraId="02D28BD5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624B26B2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78185CF8" w14:textId="77777777" w:rsidR="000B5838" w:rsidRPr="001F41DF" w:rsidRDefault="000B5838" w:rsidP="000B5838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- 7)</w:t>
            </w:r>
          </w:p>
          <w:p w14:paraId="59B392EC" w14:textId="77777777" w:rsidR="00192206" w:rsidRPr="001F41DF" w:rsidRDefault="00192206" w:rsidP="00192206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59185940" w14:textId="77777777" w:rsidR="00192206" w:rsidRPr="003040DC" w:rsidRDefault="00192206" w:rsidP="008F1E55"/>
        </w:tc>
      </w:tr>
      <w:tr w:rsidR="00192206" w:rsidRPr="003040DC" w14:paraId="21035F3E" w14:textId="77777777" w:rsidTr="001F41DF">
        <w:trPr>
          <w:gridAfter w:val="5"/>
          <w:wAfter w:w="1836" w:type="dxa"/>
          <w:trHeight w:hRule="exact" w:val="277"/>
        </w:trPr>
        <w:tc>
          <w:tcPr>
            <w:tcW w:w="851" w:type="dxa"/>
            <w:gridSpan w:val="12"/>
          </w:tcPr>
          <w:p w14:paraId="1CE145BE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093D5B8D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11EDD551" w14:textId="77777777" w:rsidR="000B5838" w:rsidRPr="001F41DF" w:rsidRDefault="000B5838" w:rsidP="000B5838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5) - 9)</w:t>
            </w:r>
          </w:p>
          <w:p w14:paraId="6C1D3487" w14:textId="77777777" w:rsidR="00192206" w:rsidRPr="001F41DF" w:rsidRDefault="00192206" w:rsidP="00192206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37751069" w14:textId="77777777" w:rsidR="00192206" w:rsidRPr="003040DC" w:rsidRDefault="00192206" w:rsidP="008F1E55"/>
        </w:tc>
      </w:tr>
      <w:tr w:rsidR="00192206" w:rsidRPr="003040DC" w14:paraId="3217A854" w14:textId="77777777" w:rsidTr="001F41DF">
        <w:trPr>
          <w:gridAfter w:val="5"/>
          <w:wAfter w:w="1836" w:type="dxa"/>
          <w:trHeight w:hRule="exact" w:val="1132"/>
        </w:trPr>
        <w:tc>
          <w:tcPr>
            <w:tcW w:w="851" w:type="dxa"/>
            <w:gridSpan w:val="12"/>
          </w:tcPr>
          <w:p w14:paraId="196991DC" w14:textId="77777777" w:rsidR="00192206" w:rsidRPr="001F41DF" w:rsidRDefault="00192206" w:rsidP="008F1E55"/>
        </w:tc>
        <w:tc>
          <w:tcPr>
            <w:tcW w:w="425" w:type="dxa"/>
            <w:gridSpan w:val="2"/>
            <w:shd w:val="clear" w:color="auto" w:fill="auto"/>
          </w:tcPr>
          <w:p w14:paraId="020D7194" w14:textId="77777777" w:rsidR="00192206" w:rsidRPr="001F41DF" w:rsidRDefault="00192206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D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4"/>
            <w:shd w:val="clear" w:color="auto" w:fill="auto"/>
          </w:tcPr>
          <w:p w14:paraId="58CAE746" w14:textId="77777777" w:rsidR="000B5838" w:rsidRPr="001F41DF" w:rsidRDefault="000B5838" w:rsidP="000B5838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1F41D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- 9)</w:t>
            </w:r>
          </w:p>
          <w:p w14:paraId="7B173E39" w14:textId="77777777" w:rsidR="00192206" w:rsidRPr="001F41DF" w:rsidRDefault="00192206" w:rsidP="00192206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2"/>
          </w:tcPr>
          <w:p w14:paraId="45BB00BA" w14:textId="77777777" w:rsidR="00192206" w:rsidRPr="003040DC" w:rsidRDefault="00192206" w:rsidP="008F1E55"/>
        </w:tc>
      </w:tr>
    </w:tbl>
    <w:p w14:paraId="50A1604D" w14:textId="77777777"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14:paraId="59F8563E" w14:textId="77777777"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2711746C" w14:textId="77777777"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14:paraId="63AC1C4A" w14:textId="77777777"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5CC6208B" w14:textId="77777777"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37DB5049" w14:textId="77777777" w:rsidR="00E10692" w:rsidRDefault="00E10692" w:rsidP="009D374D">
      <w:pPr>
        <w:shd w:val="clear" w:color="auto" w:fill="FFFFFF"/>
        <w:tabs>
          <w:tab w:val="left" w:pos="5880"/>
        </w:tabs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3C78C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  <w:t>Ниже представлены данные отчетов о финансовом положении двух  компаний за текущий год.</w:t>
      </w:r>
    </w:p>
    <w:p w14:paraId="6D2B4D8D" w14:textId="77777777" w:rsidR="000979FB" w:rsidRPr="000979FB" w:rsidRDefault="000979FB" w:rsidP="000979FB">
      <w:pPr>
        <w:widowControl w:val="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Отчеты о финансовом положении компаний на 31 декабря 2017года:         тыс. тенге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4"/>
        <w:gridCol w:w="2518"/>
        <w:gridCol w:w="2117"/>
      </w:tblGrid>
      <w:tr w:rsidR="000979FB" w:rsidRPr="000979FB" w14:paraId="7C3FCCC0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14B18A1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8FC9C73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Рубин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E0AB7F2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Топаз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</w:tr>
      <w:tr w:rsidR="000979FB" w:rsidRPr="000979FB" w14:paraId="20F03F71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69EDC1C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76EE97B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4FFB5DA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07011294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BBEA453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B2C890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4C50FEF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707069DF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F326792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и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эквиваленты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BC2188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5F41E9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12 800</w:t>
            </w:r>
          </w:p>
        </w:tc>
      </w:tr>
      <w:tr w:rsidR="000979FB" w:rsidRPr="000979FB" w14:paraId="73B7D630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9A953C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Расчеты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с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дебиторами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C5BF722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F24D978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83 000</w:t>
            </w:r>
          </w:p>
        </w:tc>
      </w:tr>
      <w:tr w:rsidR="000979FB" w:rsidRPr="000979FB" w14:paraId="7CBA05C6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EA0EA8B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E52C11F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7C78805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0979FB" w:rsidRPr="000979FB" w14:paraId="6EAEF009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77C7498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C91A1D7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9FA9EE8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163 800</w:t>
            </w:r>
          </w:p>
        </w:tc>
      </w:tr>
      <w:tr w:rsidR="000979FB" w:rsidRPr="000979FB" w14:paraId="4F6A81E5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83B8D98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FB3D1AB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07F519C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5A467269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4061F2F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E7249E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374935E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34215781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A00A53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Нематериальные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5B8E660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16AAAA5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18 200</w:t>
            </w:r>
          </w:p>
        </w:tc>
      </w:tr>
      <w:tr w:rsidR="000979FB" w:rsidRPr="000979FB" w14:paraId="0E822878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E26C85A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0E11264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534 600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58B5D2C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250 000</w:t>
            </w:r>
          </w:p>
        </w:tc>
      </w:tr>
      <w:tr w:rsidR="000979FB" w:rsidRPr="000979FB" w14:paraId="12431C8F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2574203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Инвестиции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в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дочерние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компании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88C2C54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540 000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8D780C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1F06DEA8" w14:textId="77777777" w:rsidTr="00691511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3AB5644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F195102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1104 600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9459F8F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268 200</w:t>
            </w:r>
          </w:p>
        </w:tc>
      </w:tr>
      <w:tr w:rsidR="000979FB" w:rsidRPr="000979FB" w14:paraId="389BDF46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598A53A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ИТОГО АКТИВЫ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C0785E0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7A7BA1E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  <w:tr w:rsidR="000979FB" w:rsidRPr="000979FB" w14:paraId="0B10468C" w14:textId="77777777" w:rsidTr="00691511">
        <w:trPr>
          <w:trHeight w:val="266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D15A1E" w14:textId="77777777" w:rsidR="000979FB" w:rsidRPr="000979FB" w:rsidRDefault="000979FB" w:rsidP="000979FB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Собственный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капитал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и 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07B1AFF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DC78A45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05588639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A6F154C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290AD12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4C68AC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600A8BB0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021F639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Акционерный капитал (номинал 2,5тыс.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тг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1EFC76B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6C21E21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200 000</w:t>
            </w:r>
          </w:p>
        </w:tc>
      </w:tr>
      <w:tr w:rsidR="000979FB" w:rsidRPr="000979FB" w14:paraId="2D4F91F5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F9DC585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Резервы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2AF25FB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450DD89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60 000</w:t>
            </w:r>
          </w:p>
        </w:tc>
      </w:tr>
      <w:tr w:rsidR="000979FB" w:rsidRPr="000979FB" w14:paraId="68CE93A8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9F3EE4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Нераспределенная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83C9754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7865DF0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42 000</w:t>
            </w:r>
          </w:p>
        </w:tc>
      </w:tr>
      <w:tr w:rsidR="000979FB" w:rsidRPr="000979FB" w14:paraId="09F15D0D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8037B35" w14:textId="77777777" w:rsidR="000979FB" w:rsidRPr="000979FB" w:rsidRDefault="000979FB" w:rsidP="000979FB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Чистая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89A7EAB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9FA1480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22 000</w:t>
            </w:r>
          </w:p>
        </w:tc>
      </w:tr>
      <w:tr w:rsidR="000979FB" w:rsidRPr="000979FB" w14:paraId="7F1EDE6A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B8B7A97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0EAB58C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1107 000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43624C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324 000</w:t>
            </w:r>
          </w:p>
        </w:tc>
      </w:tr>
      <w:tr w:rsidR="000979FB" w:rsidRPr="000979FB" w14:paraId="221BA514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E4787E2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934E135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CB0B4F9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00E01F20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998A40B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FDA012E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6C0A9E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08F52DE0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116CC4B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Кредиторская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2A81F87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6CE71EC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65 000</w:t>
            </w:r>
          </w:p>
        </w:tc>
      </w:tr>
      <w:tr w:rsidR="000979FB" w:rsidRPr="000979FB" w14:paraId="6AA986FA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0ED9443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Краткосрочные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5D966B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2607D09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</w:tr>
      <w:tr w:rsidR="000979FB" w:rsidRPr="000979FB" w14:paraId="56EEC780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4AC1451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89425B1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76CEF8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0979FB" w:rsidRPr="000979FB" w14:paraId="71D46F0B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1685750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AEA5B6C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BC22363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6DF88956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DB4F047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172DA97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38A401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0979FB" w:rsidRPr="000979FB" w14:paraId="19958669" w14:textId="77777777" w:rsidTr="00691511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2B99350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45553A1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8763328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37 750</w:t>
            </w:r>
          </w:p>
        </w:tc>
      </w:tr>
      <w:tr w:rsidR="000979FB" w:rsidRPr="000979FB" w14:paraId="1D5CB381" w14:textId="77777777" w:rsidTr="00691511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8522DCF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Отложенный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B41280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9 000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368A19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2 250</w:t>
            </w:r>
          </w:p>
        </w:tc>
      </w:tr>
      <w:tr w:rsidR="000979FB" w:rsidRPr="000979FB" w14:paraId="4B8A93D7" w14:textId="77777777" w:rsidTr="00691511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85F2E37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7C98FF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063E23" w14:textId="77777777" w:rsidR="000979FB" w:rsidRPr="000979FB" w:rsidRDefault="000979FB" w:rsidP="000979FB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40 000</w:t>
            </w:r>
          </w:p>
        </w:tc>
      </w:tr>
      <w:tr w:rsidR="000979FB" w:rsidRPr="000979FB" w14:paraId="473294F0" w14:textId="77777777" w:rsidTr="00691511">
        <w:trPr>
          <w:trHeight w:val="51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E5671C1" w14:textId="77777777" w:rsidR="000979FB" w:rsidRPr="000979FB" w:rsidRDefault="000979FB" w:rsidP="000979FB">
            <w:pPr>
              <w:widowControl w:val="0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 СОБСТВЕННЫЙ КАПИТАЛ И ОБЯЗАТЕЛЬСТВА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56BA00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2A7761" w14:textId="77777777" w:rsidR="000979FB" w:rsidRPr="000979FB" w:rsidRDefault="000979FB" w:rsidP="000979FB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</w:tbl>
    <w:p w14:paraId="7A8886B6" w14:textId="77777777" w:rsidR="000979FB" w:rsidRPr="000979FB" w:rsidRDefault="000979FB" w:rsidP="000979FB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proofErr w:type="spellStart"/>
      <w:r w:rsidRPr="000979FB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Дополнительная</w:t>
      </w:r>
      <w:proofErr w:type="spellEnd"/>
      <w:r w:rsidRPr="000979FB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информация</w:t>
      </w:r>
      <w:proofErr w:type="spellEnd"/>
      <w:r w:rsidRPr="000979FB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:</w:t>
      </w:r>
    </w:p>
    <w:p w14:paraId="62A4F7EA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Компания «Рубин» 1 января 2017г. приобрела 68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обыкновенных акции компании «Топаз» на общую сумму 360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000 тыс. тенге. </w:t>
      </w:r>
    </w:p>
    <w:p w14:paraId="6DC7B953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Руководство «Рубин» провело оценку справедливой стоимости чистых активов «Топаз»</w:t>
      </w:r>
      <w:r w:rsidRPr="000979FB">
        <w:rPr>
          <w:rFonts w:ascii="Times New Roman" w:eastAsia="Times New Roman" w:hAnsi="Times New Roman" w:cs="Times New Roman"/>
          <w:sz w:val="24"/>
          <w:lang w:eastAsia="en-US"/>
        </w:rPr>
        <w:br/>
        <w:t>на 1 января 2017г. Проведенная переоценка выявила следующее:</w:t>
      </w:r>
    </w:p>
    <w:p w14:paraId="221DA5E2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Основные средства включали оборудование, справедливая стоимость которого превышала балансовую на 15 000 тыс. тенге. Остававшийся срок его полезного использования равнялся 5 годам. </w:t>
      </w:r>
    </w:p>
    <w:p w14:paraId="667184F9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 также запасы  себестоимостью 10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тенге, и справедливой стоимостью 12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</w:t>
      </w:r>
    </w:p>
    <w:p w14:paraId="2C07354D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На дату приобретения справедливая стоимость прочих чистых активов компании «Топаз» равнялась ее балансовой стоимости.</w:t>
      </w:r>
    </w:p>
    <w:p w14:paraId="2B949394" w14:textId="77777777" w:rsidR="000979FB" w:rsidRPr="002025D8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31 декабря 2017г. компания «Рубин» продала основные средства компании «Топаз» за</w:t>
      </w:r>
      <w:r w:rsidRPr="000979FB">
        <w:rPr>
          <w:rFonts w:ascii="Times New Roman" w:eastAsia="Times New Roman" w:hAnsi="Times New Roman" w:cs="Times New Roman"/>
          <w:sz w:val="24"/>
          <w:lang w:eastAsia="en-US"/>
        </w:rPr>
        <w:br/>
        <w:t>23 000</w:t>
      </w:r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lang w:eastAsia="en-US"/>
        </w:rPr>
        <w:t>тыс. тенге. На дату продажи остаточная стоимость основных средств составила 19 000  тыс. тенге.</w:t>
      </w:r>
    </w:p>
    <w:p w14:paraId="7DEE6EFA" w14:textId="77777777" w:rsidR="002025D8" w:rsidRPr="000979FB" w:rsidRDefault="002025D8" w:rsidP="002025D8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3F246156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В 2017году компания «Топаз»  продала компании  «Рубин»  товары на общую сумму 60 000 тыс. тенге. Согласно ценовой политике компании, все товары продаются с 25%-ой наценкой к себестоимости.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На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31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декабря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2017г.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запасы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Рубин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»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включали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2/</w:t>
      </w:r>
      <w:proofErr w:type="gram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3 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этих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товаров</w:t>
      </w:r>
      <w:proofErr w:type="spellEnd"/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14:paraId="71B6E519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По состоянию на 31 декабря 2017г. запасы компании  «Топаз» включали, приобретенные у компании «Рубин» товары на сумму 54</w:t>
      </w:r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lang w:eastAsia="en-US"/>
        </w:rPr>
        <w:t>000 тыс. тенге. Компания «Рубин» реализует товары с 20% торговой наценкой на себестоимость.</w:t>
      </w:r>
    </w:p>
    <w:p w14:paraId="107FED84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Деловая репутация, возникшая в результате объединения компаний, ежегодно обесценивается  на 10%.</w:t>
      </w:r>
    </w:p>
    <w:p w14:paraId="16C79721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Остатки на текущих счетах расчетов между материнской и дочерней компании составляли 33 650</w:t>
      </w:r>
      <w:r w:rsidRPr="000979FB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0979FB">
        <w:rPr>
          <w:rFonts w:ascii="Times New Roman" w:eastAsia="Times New Roman" w:hAnsi="Times New Roman" w:cs="Times New Roman"/>
          <w:sz w:val="24"/>
          <w:lang w:eastAsia="en-US"/>
        </w:rPr>
        <w:t>тыс. тенге на 31 декабря 2017г.</w:t>
      </w:r>
    </w:p>
    <w:p w14:paraId="01FD8CFB" w14:textId="77777777" w:rsidR="000979FB" w:rsidRPr="000979FB" w:rsidRDefault="000979FB" w:rsidP="000979FB">
      <w:pPr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При подготовке финансовой отчетности была обнаружена существенная ошибка предыдущих лет:</w:t>
      </w:r>
    </w:p>
    <w:p w14:paraId="7716314D" w14:textId="77777777" w:rsidR="000979FB" w:rsidRPr="000979FB" w:rsidRDefault="000979FB" w:rsidP="000979FB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lang w:eastAsia="en-US"/>
        </w:rPr>
        <w:t>В 2015 году была завышена амортизация основных средств на сумму 80 000 тыс. тенге, ставка КПН 20%</w:t>
      </w:r>
    </w:p>
    <w:p w14:paraId="296E590D" w14:textId="77777777" w:rsidR="002025D8" w:rsidRPr="001F41DF" w:rsidRDefault="002025D8" w:rsidP="000979FB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095B1EDE" w14:textId="77777777" w:rsidR="000979FB" w:rsidRPr="000979FB" w:rsidRDefault="000979FB" w:rsidP="000979FB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  </w:t>
      </w:r>
    </w:p>
    <w:p w14:paraId="07BBE7A5" w14:textId="77777777" w:rsidR="000979FB" w:rsidRPr="000979FB" w:rsidRDefault="000979FB" w:rsidP="000979FB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>С учетом имеющейся информации, подготовьте:</w:t>
      </w:r>
    </w:p>
    <w:p w14:paraId="4EB252DF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>Описание структуры группы «Рубин»</w:t>
      </w:r>
    </w:p>
    <w:p w14:paraId="2A221C1D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справедливую стоимость чистых активов дочерней компании на дату покупки и на дату отчета</w:t>
      </w:r>
    </w:p>
    <w:p w14:paraId="799D5BF9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деловую репутацию на отчетную дату</w:t>
      </w:r>
    </w:p>
    <w:p w14:paraId="24DE5EB0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Определить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долю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неконтролирующих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акционеров</w:t>
      </w:r>
      <w:proofErr w:type="spellEnd"/>
    </w:p>
    <w:p w14:paraId="01E349E7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 по примечанию </w:t>
      </w:r>
    </w:p>
    <w:p w14:paraId="0796CCBB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Рассчитать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консолидированную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нераспределенную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>прибыль</w:t>
      </w:r>
      <w:proofErr w:type="spellEnd"/>
      <w:r w:rsidRPr="000979FB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</w:p>
    <w:p w14:paraId="3F38E30D" w14:textId="77777777" w:rsidR="000979FB" w:rsidRPr="000979FB" w:rsidRDefault="000979FB" w:rsidP="002025D8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lang w:eastAsia="en-US"/>
        </w:rPr>
        <w:t>Подготовьте консолидированный отчет о финансовом положении группы компаний «Рубин» на 31 декабря 2017г.</w:t>
      </w:r>
    </w:p>
    <w:p w14:paraId="046B2E47" w14:textId="77777777" w:rsidR="00107710" w:rsidRPr="00BE56C9" w:rsidRDefault="00107710" w:rsidP="008F1E55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1EDB05B4" w14:textId="77777777" w:rsidR="00107710" w:rsidRPr="001F41DF" w:rsidRDefault="00107710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3768ECD" w14:textId="77777777" w:rsidR="002025D8" w:rsidRPr="001F41DF" w:rsidRDefault="002025D8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6512219" w14:textId="77777777"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F725A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7195C177" w14:textId="77777777" w:rsidR="00107710" w:rsidRDefault="00107710" w:rsidP="00107710">
      <w:pPr>
        <w:ind w:right="-284"/>
        <w:rPr>
          <w:rFonts w:ascii="Times New Roman" w:eastAsia="Times New Roman" w:hAnsi="Times New Roman" w:cs="Times New Roman"/>
          <w:sz w:val="22"/>
          <w:lang w:eastAsia="en-US"/>
        </w:rPr>
      </w:pPr>
    </w:p>
    <w:p w14:paraId="192BEEC4" w14:textId="77777777" w:rsidR="000979FB" w:rsidRPr="000979FB" w:rsidRDefault="000979FB" w:rsidP="002025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Компания «Кайнар» занимается подготовкой финансовой отчетности за год, закончившийся </w:t>
      </w:r>
      <w:r w:rsidR="002025D8" w:rsidRPr="002025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79FB">
        <w:rPr>
          <w:rFonts w:ascii="Times New Roman" w:eastAsia="Times New Roman" w:hAnsi="Times New Roman" w:cs="Times New Roman"/>
          <w:sz w:val="24"/>
          <w:szCs w:val="24"/>
        </w:rPr>
        <w:t>31 декабря 2016 года. Вам предоставили следующий пробный баланс на эту дату:</w:t>
      </w:r>
    </w:p>
    <w:p w14:paraId="4573847C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</w:p>
    <w:p w14:paraId="7BAE541F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Выручка                                                                                                        186 000</w:t>
      </w:r>
    </w:p>
    <w:p w14:paraId="69DE299D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Затраты на производство                                                                            96 000</w:t>
      </w:r>
    </w:p>
    <w:p w14:paraId="0AEF4BB9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Коммерческие расходы                                                                               8 400</w:t>
      </w:r>
    </w:p>
    <w:p w14:paraId="1938A9F6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Управленческие расходы                                                                            31 200</w:t>
      </w:r>
    </w:p>
    <w:p w14:paraId="2DDD0D39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Запасы на 31 декабря 2015 года                                                                 21 600</w:t>
      </w:r>
    </w:p>
    <w:p w14:paraId="145108CB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Финансовые расходы                                                                                   5 280</w:t>
      </w:r>
    </w:p>
    <w:p w14:paraId="03CB195C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Налог на прибыль                                                                                        120</w:t>
      </w:r>
    </w:p>
    <w:p w14:paraId="21988816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Дивиденды выплаченные                                                                            2 400</w:t>
      </w:r>
    </w:p>
    <w:p w14:paraId="73A9672A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Основные средства – по первоначальной стоимости                               74 400</w:t>
      </w:r>
    </w:p>
    <w:p w14:paraId="44E7B8C8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Накопленный износ основных средств по состоянию </w:t>
      </w:r>
    </w:p>
    <w:p w14:paraId="08A8BAAF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на 31 декабря 2015 года                                                                               16 800</w:t>
      </w:r>
    </w:p>
    <w:p w14:paraId="4C0E7FE0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Торговая дебиторская задолженность                                                        55 800</w:t>
      </w:r>
    </w:p>
    <w:p w14:paraId="634C85F8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Денежные средства и их эквиваленты                                                        37 200</w:t>
      </w:r>
    </w:p>
    <w:p w14:paraId="09BC73E2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Торговая кредиторская задолженность                                                      14 400</w:t>
      </w:r>
    </w:p>
    <w:p w14:paraId="1DB65116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Долгосрочные процентные заимствования                                                48 000</w:t>
      </w:r>
    </w:p>
    <w:p w14:paraId="7651845E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Отложенный налог                                                                                        7 200</w:t>
      </w:r>
    </w:p>
    <w:p w14:paraId="30500003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Акционерный капитал                                                                                  54 000</w:t>
      </w:r>
    </w:p>
    <w:p w14:paraId="081D424B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Накопленная прибыль на 31 декабря 2015 года                                         </w:t>
      </w:r>
      <w:r w:rsidRPr="000979FB">
        <w:rPr>
          <w:rFonts w:ascii="Times New Roman" w:eastAsia="Times New Roman" w:hAnsi="Times New Roman" w:cs="Times New Roman"/>
          <w:sz w:val="24"/>
          <w:szCs w:val="24"/>
          <w:u w:val="single"/>
        </w:rPr>
        <w:t>30 000</w:t>
      </w:r>
    </w:p>
    <w:p w14:paraId="6584EA7F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356</w:t>
      </w:r>
      <w:r w:rsidR="002025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79FB">
        <w:rPr>
          <w:rFonts w:ascii="Times New Roman" w:eastAsia="Times New Roman" w:hAnsi="Times New Roman" w:cs="Times New Roman"/>
          <w:sz w:val="24"/>
          <w:szCs w:val="24"/>
        </w:rPr>
        <w:t>400</w:t>
      </w:r>
    </w:p>
    <w:p w14:paraId="3724ED45" w14:textId="77777777" w:rsidR="002025D8" w:rsidRDefault="002025D8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</w:p>
    <w:p w14:paraId="1EAF2F75" w14:textId="77777777" w:rsidR="002025D8" w:rsidRDefault="002025D8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</w:p>
    <w:p w14:paraId="41BC689B" w14:textId="77777777" w:rsidR="002025D8" w:rsidRDefault="002025D8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</w:p>
    <w:p w14:paraId="7405D8A0" w14:textId="77777777" w:rsidR="002025D8" w:rsidRDefault="002025D8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</w:pPr>
    </w:p>
    <w:p w14:paraId="1F54558F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Дополнительная информация   </w:t>
      </w:r>
    </w:p>
    <w:p w14:paraId="016303ED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2025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Выручка</w:t>
      </w:r>
    </w:p>
    <w:p w14:paraId="4E9A5EAF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31 декабря 2016 года компания «Кайнар» подписала договор на ежемесячную поставку товаров новому клиенту, начиная с 31 января 2017 года. Клиент внес депозит на сумму 6000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, который «Кайнар» кредитовала на счет выручки, когда договор был подписан.</w:t>
      </w:r>
    </w:p>
    <w:p w14:paraId="132F3346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30 ноября 2016 года компания «Кайнар» продала оборудование, приобретенное за 4 800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 1 января  2015 года. Полученную от реализации сумму в 5 400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 «Кайнар» кредитовала на выручку. Сразу после продажи компания «Кайнар» начала арендовать данное оборудование, причем период аренды был равен оставшемуся сроку полезной службы. «Кайнар» договорилась, что арендные платежи будут выплачиваться, начиная с 1 января 2017 года. «Кайнар» не делала никаких других проводок в отношении данной реализации. Оборудование было приобретено финансовой компанией,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79F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79FB">
        <w:rPr>
          <w:rFonts w:ascii="Times New Roman" w:eastAsia="Times New Roman" w:hAnsi="Times New Roman" w:cs="Times New Roman"/>
          <w:sz w:val="24"/>
          <w:szCs w:val="24"/>
        </w:rPr>
        <w:t>применяет процентную ставку по займам в 8% годовых.</w:t>
      </w:r>
    </w:p>
    <w:p w14:paraId="14CEBF40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BC447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Запасы</w:t>
      </w:r>
    </w:p>
    <w:p w14:paraId="3EF5C351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Балансовая стоимость запасов по состоянию на 31 декабря 2016 года составила 30 000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52C700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A93D45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025D8" w:rsidRPr="001F41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Долгосрочные процентные заимствования   </w:t>
      </w:r>
    </w:p>
    <w:p w14:paraId="0EA033B2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1 января 2016 года компания «Кайнар» выпустила 400 000 облигаций номинальной стоимостью 120 тенге по цене 114 тенге каждая. Ставка купона по облигациям – 6% с выплатой процентов ежегодно в конце года. Облигации погашаются 31 декабря 2020 года по стоимости 140 тенге за штуку. Текущая стоимость заимствований по данным долговым обязательствам составляет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79FB">
        <w:rPr>
          <w:rFonts w:ascii="Times New Roman" w:eastAsia="Times New Roman" w:hAnsi="Times New Roman" w:cs="Times New Roman"/>
          <w:sz w:val="24"/>
          <w:szCs w:val="24"/>
        </w:rPr>
        <w:t>10% годовых. Компания «Кайнар» отразила выпущенные облигации по номинальной стоимости, а дисконт по облигациям и фактически выплаченные проценты как финансовые расходы.</w:t>
      </w:r>
    </w:p>
    <w:p w14:paraId="32EBECE9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C77CB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="002025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Налогообложение  </w:t>
      </w:r>
    </w:p>
    <w:p w14:paraId="4DBC75B8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Расчетная величина налога на прибыль за год, закончившийся 31 декабря 2016 года, составляет 4 920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FCFEEA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для полного погашения задолженности по налогу на прибыль за год, закончившийся 31 декабря 2015 года, компания заплатила 4 440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. В отчете о финансовом положении по состоянию на 31 декабря 2015 года по данному обязательству была начислена сумма в 4 320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C4680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31 декабря 2015 года, балансовая стоимость чистых активов «Кайнар» превышала их налоговую базу на 31 200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. Эта информация дана без учета результатов переоценки объектов недвижимости (см. Примечание 6).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14:paraId="44B98121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Ставка налога на прибыль – 25%.</w:t>
      </w:r>
    </w:p>
    <w:p w14:paraId="1B9BA6BB" w14:textId="77777777" w:rsidR="000979FB" w:rsidRPr="000979FB" w:rsidRDefault="000979FB" w:rsidP="000979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58224F" w14:textId="77777777" w:rsidR="000979FB" w:rsidRPr="000979FB" w:rsidRDefault="000979FB" w:rsidP="000979F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5.Основные средства     </w:t>
      </w:r>
      <w:r w:rsidR="002025D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тыс.тенге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985"/>
        <w:gridCol w:w="2410"/>
      </w:tblGrid>
      <w:tr w:rsidR="000979FB" w:rsidRPr="000979FB" w14:paraId="0711C0C7" w14:textId="77777777" w:rsidTr="002025D8">
        <w:tc>
          <w:tcPr>
            <w:tcW w:w="3510" w:type="dxa"/>
            <w:vMerge w:val="restart"/>
            <w:shd w:val="clear" w:color="auto" w:fill="auto"/>
          </w:tcPr>
          <w:p w14:paraId="79290A63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Необходимая информация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6806210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Объекты недвижимости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3EE171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Машины и оборудование</w:t>
            </w:r>
          </w:p>
          <w:p w14:paraId="655B9FE3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0979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</w:tr>
      <w:tr w:rsidR="000979FB" w:rsidRPr="000979FB" w14:paraId="29E6EE40" w14:textId="77777777" w:rsidTr="002025D8">
        <w:trPr>
          <w:trHeight w:val="562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D48B1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7A8332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Земля</w:t>
            </w:r>
          </w:p>
          <w:p w14:paraId="4407E749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979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E40B85A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Здания</w:t>
            </w:r>
          </w:p>
          <w:p w14:paraId="13ED56EC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979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2C69E3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979FB" w:rsidRPr="000979FB" w14:paraId="636BDB81" w14:textId="77777777" w:rsidTr="002025D8">
        <w:tc>
          <w:tcPr>
            <w:tcW w:w="3510" w:type="dxa"/>
            <w:shd w:val="clear" w:color="auto" w:fill="auto"/>
          </w:tcPr>
          <w:p w14:paraId="1B4EDD5A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Первоначальная стоимость на 31 декабря 2016 года</w:t>
            </w:r>
          </w:p>
        </w:tc>
        <w:tc>
          <w:tcPr>
            <w:tcW w:w="2268" w:type="dxa"/>
            <w:shd w:val="clear" w:color="auto" w:fill="auto"/>
          </w:tcPr>
          <w:p w14:paraId="3B8E7FD7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985" w:type="dxa"/>
            <w:shd w:val="clear" w:color="auto" w:fill="auto"/>
          </w:tcPr>
          <w:p w14:paraId="64CB3325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18 000</w:t>
            </w:r>
          </w:p>
        </w:tc>
        <w:tc>
          <w:tcPr>
            <w:tcW w:w="2410" w:type="dxa"/>
            <w:shd w:val="clear" w:color="auto" w:fill="auto"/>
          </w:tcPr>
          <w:p w14:paraId="6275FCB0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38 400</w:t>
            </w:r>
          </w:p>
        </w:tc>
      </w:tr>
      <w:tr w:rsidR="000979FB" w:rsidRPr="000979FB" w14:paraId="0579FD1B" w14:textId="77777777" w:rsidTr="002025D8">
        <w:tc>
          <w:tcPr>
            <w:tcW w:w="3510" w:type="dxa"/>
            <w:shd w:val="clear" w:color="auto" w:fill="auto"/>
          </w:tcPr>
          <w:p w14:paraId="3BD0CF76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полезной службы (на дату приобретения)</w:t>
            </w:r>
          </w:p>
        </w:tc>
        <w:tc>
          <w:tcPr>
            <w:tcW w:w="2268" w:type="dxa"/>
            <w:shd w:val="clear" w:color="auto" w:fill="auto"/>
          </w:tcPr>
          <w:p w14:paraId="54B3B569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1985" w:type="dxa"/>
            <w:shd w:val="clear" w:color="auto" w:fill="auto"/>
          </w:tcPr>
          <w:p w14:paraId="0D436B4B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2410" w:type="dxa"/>
            <w:shd w:val="clear" w:color="auto" w:fill="auto"/>
          </w:tcPr>
          <w:p w14:paraId="6E77D02B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979FB" w:rsidRPr="000979FB" w14:paraId="07E6223E" w14:textId="77777777" w:rsidTr="002025D8">
        <w:tc>
          <w:tcPr>
            <w:tcW w:w="3510" w:type="dxa"/>
            <w:shd w:val="clear" w:color="auto" w:fill="auto"/>
          </w:tcPr>
          <w:p w14:paraId="33EFB579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Накопленный износ по состоянию на 31 декабря 2015 года</w:t>
            </w:r>
          </w:p>
        </w:tc>
        <w:tc>
          <w:tcPr>
            <w:tcW w:w="2268" w:type="dxa"/>
            <w:shd w:val="clear" w:color="auto" w:fill="auto"/>
          </w:tcPr>
          <w:p w14:paraId="0E11B36F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81D5FF2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2410" w:type="dxa"/>
            <w:shd w:val="clear" w:color="auto" w:fill="auto"/>
          </w:tcPr>
          <w:p w14:paraId="79F6B0B6" w14:textId="77777777" w:rsidR="000979FB" w:rsidRPr="000979FB" w:rsidRDefault="000979FB" w:rsidP="000979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9FB">
              <w:rPr>
                <w:rFonts w:ascii="Times New Roman" w:eastAsia="Times New Roman" w:hAnsi="Times New Roman" w:cs="Times New Roman"/>
                <w:sz w:val="24"/>
                <w:szCs w:val="24"/>
              </w:rPr>
              <w:t>9 600</w:t>
            </w:r>
          </w:p>
        </w:tc>
      </w:tr>
    </w:tbl>
    <w:p w14:paraId="22BC5C33" w14:textId="77777777" w:rsidR="000979FB" w:rsidRPr="000979FB" w:rsidRDefault="000979FB" w:rsidP="000979F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14:paraId="2F29C26E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Износ основных средств относится на себестоимость. Ни один объект из группы долгосрочных активов не был полностью самортизирован по состоянию на 31 декабря 2015 года.</w:t>
      </w:r>
    </w:p>
    <w:p w14:paraId="7014CEC0" w14:textId="77777777" w:rsidR="000979FB" w:rsidRPr="001F41DF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C7EF4" w14:textId="77777777" w:rsidR="002025D8" w:rsidRPr="001F41DF" w:rsidRDefault="002025D8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F435D" w14:textId="77777777" w:rsidR="002025D8" w:rsidRPr="001F41DF" w:rsidRDefault="002025D8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80FC3" w14:textId="77777777" w:rsidR="002025D8" w:rsidRPr="001F41DF" w:rsidRDefault="002025D8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41A8E5" w14:textId="77777777" w:rsidR="002025D8" w:rsidRPr="001F41DF" w:rsidRDefault="002025D8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9392D" w14:textId="77777777" w:rsidR="002025D8" w:rsidRPr="001F41DF" w:rsidRDefault="002025D8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340FA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6.</w:t>
      </w:r>
      <w:r w:rsidR="002025D8" w:rsidRPr="002025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79FB">
        <w:rPr>
          <w:rFonts w:ascii="Times New Roman" w:eastAsia="Times New Roman" w:hAnsi="Times New Roman" w:cs="Times New Roman"/>
          <w:i/>
          <w:sz w:val="24"/>
          <w:szCs w:val="24"/>
        </w:rPr>
        <w:t>Переоценка объектов недвижимости</w:t>
      </w:r>
    </w:p>
    <w:p w14:paraId="06B07131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31 декабря 2016 года рыночная стоимость объектов недвижимости составляла 60 000 </w:t>
      </w:r>
      <w:proofErr w:type="spellStart"/>
      <w:proofErr w:type="gramStart"/>
      <w:r w:rsidRPr="000979FB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0979FB">
        <w:rPr>
          <w:rFonts w:ascii="Times New Roman" w:eastAsia="Times New Roman" w:hAnsi="Times New Roman" w:cs="Times New Roman"/>
          <w:sz w:val="24"/>
          <w:szCs w:val="24"/>
        </w:rPr>
        <w:t>. Руководство имеет намерение отразить результаты переоценки в финансовой отчетности, но никаких проводок еще не было сделано.</w:t>
      </w:r>
    </w:p>
    <w:p w14:paraId="39F32B62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42C7D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Задание:   </w:t>
      </w:r>
    </w:p>
    <w:p w14:paraId="26BB81BE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b/>
          <w:sz w:val="24"/>
          <w:szCs w:val="24"/>
        </w:rPr>
        <w:t>А. Подготовьте отчет о прибылях и убытках компании «Кайнар» за год, закончившийся 31 декабря 2016 года.</w:t>
      </w:r>
    </w:p>
    <w:p w14:paraId="026D10B2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b/>
          <w:sz w:val="24"/>
          <w:szCs w:val="24"/>
        </w:rPr>
        <w:t>Б. Подготовьте отчет об изменениях капитала компании «Кайнар» за год, закончившийся 31 декабря 2016 года.</w:t>
      </w:r>
    </w:p>
    <w:p w14:paraId="2D2638C2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b/>
          <w:sz w:val="24"/>
          <w:szCs w:val="24"/>
        </w:rPr>
        <w:t>В. Подготовьте отчет о финансовом положении компании «Кайнар» по состоянию на 31 декабря 2016 года.</w:t>
      </w:r>
    </w:p>
    <w:p w14:paraId="2E5C37E2" w14:textId="77777777" w:rsidR="00F86586" w:rsidRDefault="00F86586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D89592" w14:textId="77777777" w:rsidR="00F86586" w:rsidRDefault="00F86586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9EECBEB" w14:textId="77777777" w:rsidR="00F86586" w:rsidRDefault="00F86586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911D3F6" w14:textId="77777777"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B255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F725A">
        <w:rPr>
          <w:rFonts w:ascii="Times New Roman" w:hAnsi="Times New Roman" w:cs="Times New Roman"/>
          <w:b/>
          <w:sz w:val="28"/>
          <w:szCs w:val="28"/>
        </w:rPr>
        <w:t>15</w:t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14:paraId="0BFD32D4" w14:textId="77777777"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0B9393CF" w14:textId="77777777" w:rsidR="000979FB" w:rsidRPr="00207E19" w:rsidRDefault="000979FB" w:rsidP="000979FB">
      <w:pPr>
        <w:pStyle w:val="ab"/>
        <w:jc w:val="both"/>
        <w:rPr>
          <w:sz w:val="24"/>
          <w:szCs w:val="24"/>
        </w:rPr>
      </w:pPr>
      <w:r w:rsidRPr="00207E19">
        <w:rPr>
          <w:sz w:val="24"/>
          <w:szCs w:val="24"/>
        </w:rPr>
        <w:t>Компания «Планета» продала оборудование и его годовую бесплатную техническую поддержку за 100 000 долларов. Продажа оборудования и техническое обслуживание были идентифицированы как отдельные обязательства к исполнению. До настоящего момента «Планета» не оказывала услуг по технической поддержке, и обычно данное оборудование продавалось за 95 000 долларов. Предполагается, что затраты на техническую поддержку составят 20 000 долларов. При установлении цен на похожие услуги по технической поддержке, компания устанавливает наценку в размере 50% от себестоимости.</w:t>
      </w:r>
    </w:p>
    <w:p w14:paraId="379A26CB" w14:textId="77777777" w:rsidR="000979FB" w:rsidRPr="00207E19" w:rsidRDefault="000979FB" w:rsidP="000979FB">
      <w:pPr>
        <w:pStyle w:val="ab"/>
        <w:jc w:val="both"/>
        <w:rPr>
          <w:sz w:val="24"/>
          <w:szCs w:val="24"/>
        </w:rPr>
      </w:pPr>
    </w:p>
    <w:p w14:paraId="2FCF153C" w14:textId="77777777" w:rsidR="000979FB" w:rsidRPr="002025D8" w:rsidRDefault="000979FB" w:rsidP="000979FB">
      <w:pPr>
        <w:pStyle w:val="ab"/>
        <w:jc w:val="both"/>
        <w:rPr>
          <w:b/>
          <w:sz w:val="26"/>
          <w:szCs w:val="26"/>
        </w:rPr>
      </w:pPr>
      <w:r w:rsidRPr="002025D8">
        <w:rPr>
          <w:b/>
          <w:sz w:val="26"/>
          <w:szCs w:val="26"/>
        </w:rPr>
        <w:t>Задание:</w:t>
      </w:r>
    </w:p>
    <w:p w14:paraId="366E7052" w14:textId="77777777" w:rsidR="000979FB" w:rsidRPr="002025D8" w:rsidRDefault="000979FB" w:rsidP="000979FB">
      <w:pPr>
        <w:pStyle w:val="ab"/>
        <w:jc w:val="both"/>
        <w:rPr>
          <w:b/>
          <w:sz w:val="24"/>
          <w:szCs w:val="24"/>
        </w:rPr>
      </w:pPr>
      <w:r w:rsidRPr="002025D8">
        <w:rPr>
          <w:b/>
          <w:sz w:val="24"/>
          <w:szCs w:val="24"/>
        </w:rPr>
        <w:t>Какова сумма выручки, распределенная на оборудование и техническую поддержку?</w:t>
      </w:r>
    </w:p>
    <w:p w14:paraId="45D7C53E" w14:textId="77777777" w:rsidR="000979FB" w:rsidRPr="00207E19" w:rsidRDefault="000979FB" w:rsidP="000979FB">
      <w:pPr>
        <w:pStyle w:val="ab"/>
        <w:jc w:val="both"/>
        <w:rPr>
          <w:b/>
          <w:i/>
          <w:sz w:val="24"/>
          <w:szCs w:val="24"/>
        </w:rPr>
      </w:pPr>
    </w:p>
    <w:p w14:paraId="01B6B1FF" w14:textId="77777777" w:rsidR="00F63013" w:rsidRDefault="00F63013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72847" w14:textId="77777777" w:rsidR="007A6ED7" w:rsidRDefault="007A6ED7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0FED1" w14:textId="77777777"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C7648">
        <w:rPr>
          <w:rFonts w:ascii="Times New Roman" w:hAnsi="Times New Roman" w:cs="Times New Roman"/>
          <w:b/>
          <w:sz w:val="28"/>
          <w:szCs w:val="28"/>
        </w:rPr>
        <w:t>15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5FAC6C4B" w14:textId="77777777"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14:paraId="74C36750" w14:textId="77777777" w:rsidR="00F63013" w:rsidRP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12"/>
        </w:rPr>
      </w:pPr>
    </w:p>
    <w:p w14:paraId="075F61C0" w14:textId="77777777"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14:paraId="7135B5A0" w14:textId="77777777" w:rsidR="000979FB" w:rsidRPr="000979FB" w:rsidRDefault="000979FB" w:rsidP="002025D8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Компания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>» крупная нефтедобывающая компания. 01 января 2016 г. руководство компании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>» решило провести геологические исследования на участке, который по прогнозам геофизиков являлся перспективным, с точки зрения наличия на участке нефти. Сотрудники компании немедленно приступили к работе. Заработная плата сотрудников, занятых на данном проекте полный рабочий день составляла 1 500 тыс. тенге ежемесячно.</w:t>
      </w:r>
    </w:p>
    <w:p w14:paraId="3485A1C7" w14:textId="77777777" w:rsidR="000979FB" w:rsidRPr="000979FB" w:rsidRDefault="000979FB" w:rsidP="000979FB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К 01 мая 2016 г. юристы компании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>» получили разрешение органов власти на проведение геологических исследований на участке, за получение данного права требовалось заплатить 500 тыс. тенге. На эту же дату был заключен договор аренды бурильной установки на 5 месяцев, с ежемесячной арендной платой  500 тыс. тенге. Экономический срок службы таких бурильных установок составляет 5 лет. 01 июня 2016 г. компания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>» приобрела оборудование для проведения геохимических и геофизических исследований, цена оборудования 2 700 тыс. тенге, оборудование предполагается использовать в течение 3–х лет, ликвидационная стоимость оборудования равна 0. Для оценки оборудования такого класса компания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>» использует метод первоначальной стоимости.  За лабораторный анализ проб и образцов компания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» заплатила 800 тыс. тенге, оплата консультационных услуг, связанных с оценкой запасов, составила 1 200 тыс. тенге. В соответствии с учетной политикой компании все вышеперечисленные затраты, понесенные в процессе разведки и добычи минеральных ресурсов капитализируются. </w:t>
      </w:r>
    </w:p>
    <w:p w14:paraId="059C2371" w14:textId="77777777" w:rsidR="000979FB" w:rsidRPr="000979FB" w:rsidRDefault="000979FB" w:rsidP="000979FB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30 ноября 2016 г. руководство компании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» получило заключение специалистов о наличии коммерческих запасов нефти на данном участке и технической целесообразности добычи, после чего начался процесс добычи. </w:t>
      </w:r>
    </w:p>
    <w:p w14:paraId="520858DA" w14:textId="77777777" w:rsidR="000979FB" w:rsidRPr="001F41DF" w:rsidRDefault="000979FB" w:rsidP="000979FB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sz w:val="24"/>
          <w:szCs w:val="24"/>
        </w:rPr>
        <w:t>Учетная политика компании «</w:t>
      </w:r>
      <w:proofErr w:type="spellStart"/>
      <w:r w:rsidRPr="000979FB">
        <w:rPr>
          <w:rFonts w:ascii="Times New Roman" w:eastAsia="Times New Roman" w:hAnsi="Times New Roman" w:cs="Times New Roman"/>
          <w:sz w:val="24"/>
          <w:szCs w:val="24"/>
        </w:rPr>
        <w:t>Тоган</w:t>
      </w:r>
      <w:proofErr w:type="spellEnd"/>
      <w:r w:rsidRPr="000979FB">
        <w:rPr>
          <w:rFonts w:ascii="Times New Roman" w:eastAsia="Times New Roman" w:hAnsi="Times New Roman" w:cs="Times New Roman"/>
          <w:sz w:val="24"/>
          <w:szCs w:val="24"/>
        </w:rPr>
        <w:t xml:space="preserve">» предполагает оценку нематериальных активов по первоначальной стоимости. В соответствии с заключением, возмещаемая стоимость проекта составила 15 000 тыс. тенге, эксплуатация скважины рассчитана на 5 лет. </w:t>
      </w:r>
    </w:p>
    <w:p w14:paraId="254582E1" w14:textId="77777777" w:rsidR="002025D8" w:rsidRPr="001F41DF" w:rsidRDefault="002025D8" w:rsidP="000979FB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AC9DA" w14:textId="77777777" w:rsidR="002025D8" w:rsidRPr="001F41DF" w:rsidRDefault="002025D8" w:rsidP="000979FB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EA169" w14:textId="77777777" w:rsidR="000979FB" w:rsidRPr="000979FB" w:rsidRDefault="000979FB" w:rsidP="002025D8">
      <w:pPr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Задание: </w:t>
      </w:r>
    </w:p>
    <w:p w14:paraId="55E324AA" w14:textId="77777777" w:rsidR="000979FB" w:rsidRPr="000979FB" w:rsidRDefault="000979FB" w:rsidP="002025D8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9FB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Подготовьте выписки из финансовой отчетности за год, закончившийся 31 декабря 2016 г., </w:t>
      </w:r>
      <w:r w:rsidR="002025D8" w:rsidRPr="002025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0979FB">
        <w:rPr>
          <w:rFonts w:ascii="Times New Roman" w:eastAsia="Times New Roman" w:hAnsi="Times New Roman" w:cs="Times New Roman"/>
          <w:b/>
          <w:sz w:val="24"/>
          <w:szCs w:val="24"/>
        </w:rPr>
        <w:t>с отражением данных хозяйственных операций.</w:t>
      </w:r>
    </w:p>
    <w:p w14:paraId="060280C7" w14:textId="77777777" w:rsidR="002242A7" w:rsidRPr="002025D8" w:rsidRDefault="002242A7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2912FECD" w14:textId="77777777" w:rsidR="007A6ED7" w:rsidRDefault="007A6ED7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58C5D444" w14:textId="77777777" w:rsidR="00E63A0E" w:rsidRDefault="00E63A0E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386D0DB8" w14:textId="77777777" w:rsidR="002242A7" w:rsidRPr="009957FF" w:rsidRDefault="002242A7" w:rsidP="0022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57FF">
        <w:rPr>
          <w:rFonts w:ascii="Times New Roman" w:hAnsi="Times New Roman" w:cs="Times New Roman"/>
          <w:b/>
          <w:sz w:val="28"/>
          <w:szCs w:val="28"/>
        </w:rPr>
        <w:t>0 баллов</w:t>
      </w:r>
    </w:p>
    <w:p w14:paraId="4AB41D97" w14:textId="77777777" w:rsidR="00E63A0E" w:rsidRDefault="00E63A0E" w:rsidP="00E63A0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7AE00A36" w14:textId="77777777" w:rsidR="000979FB" w:rsidRPr="000979FB" w:rsidRDefault="000979FB" w:rsidP="000979FB">
      <w:pPr>
        <w:ind w:firstLine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1 января 2015 года ТОО «Антуриум»</w:t>
      </w:r>
      <w:r w:rsidRPr="000979FB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 xml:space="preserve">  </w:t>
      </w:r>
      <w:r w:rsidRPr="000979FB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приобрело объект оборудования за 2 400 тыс. тенге. Его срок службы составляет 8 лет, а ликвидационная стоимость – 480 тыс. тенге. Амортизация рассчитывается линейным методом. Для целей исчисления налогов, амортизация не принимается в качестве вычитаемого расхода. Вместо этого, может быть использован налоговый вычет в размере 40% от стоимости этого оборудования против налога на прибыль в год покупки и 20% в год от его налоговой стоимости (методом уменьшаемого остатка) в последующие годы. Ставка налога - 25%.</w:t>
      </w:r>
    </w:p>
    <w:p w14:paraId="7FF4AA15" w14:textId="77777777" w:rsidR="002025D8" w:rsidRPr="001F41DF" w:rsidRDefault="002025D8" w:rsidP="000979FB">
      <w:pPr>
        <w:tabs>
          <w:tab w:val="left" w:pos="2683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en-US"/>
        </w:rPr>
      </w:pPr>
    </w:p>
    <w:p w14:paraId="682DDA31" w14:textId="77777777" w:rsidR="000979FB" w:rsidRPr="000979FB" w:rsidRDefault="000979FB" w:rsidP="000979FB">
      <w:pPr>
        <w:tabs>
          <w:tab w:val="left" w:pos="2683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en-US"/>
        </w:rPr>
        <w:t>Задание:</w:t>
      </w:r>
      <w:r w:rsidRPr="000979FB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ab/>
      </w:r>
      <w:r w:rsidRPr="000979FB">
        <w:rPr>
          <w:rFonts w:ascii="Times New Roman" w:eastAsia="Times New Roman" w:hAnsi="Times New Roman" w:cs="Times New Roman"/>
          <w:b/>
          <w:sz w:val="24"/>
          <w:shd w:val="clear" w:color="auto" w:fill="FFFFFF"/>
          <w:vertAlign w:val="superscript"/>
          <w:lang w:eastAsia="en-US"/>
        </w:rPr>
        <w:t xml:space="preserve"> </w:t>
      </w:r>
    </w:p>
    <w:p w14:paraId="42187FAA" w14:textId="77777777" w:rsidR="000979FB" w:rsidRPr="000979FB" w:rsidRDefault="000979FB" w:rsidP="000979FB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0979FB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В отношении вышеуказанного объекта оборудования, рассчитайте расход/доход по отложенному налогу в отчете о прибылях и убытках за год, заканчивающийся 31 декабря 2017года и остаток по отложенному налогу в балансе компании на эту дату.</w:t>
      </w:r>
    </w:p>
    <w:p w14:paraId="40E66BE2" w14:textId="77777777" w:rsidR="002242A7" w:rsidRPr="00586EE5" w:rsidRDefault="002242A7" w:rsidP="000979FB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sectPr w:rsidR="002242A7" w:rsidRPr="00586EE5" w:rsidSect="004939B8">
      <w:pgSz w:w="11906" w:h="16838"/>
      <w:pgMar w:top="709" w:right="567" w:bottom="142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DA4"/>
    <w:multiLevelType w:val="multilevel"/>
    <w:tmpl w:val="E0800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2DB5AC4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5D51F84"/>
    <w:multiLevelType w:val="hybridMultilevel"/>
    <w:tmpl w:val="7C08BD38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680530"/>
    <w:multiLevelType w:val="multilevel"/>
    <w:tmpl w:val="3F82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B4867F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D13285A"/>
    <w:multiLevelType w:val="hybridMultilevel"/>
    <w:tmpl w:val="A4FE2A18"/>
    <w:lvl w:ilvl="0" w:tplc="041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28"/>
    <w:rsid w:val="00011771"/>
    <w:rsid w:val="00011E9A"/>
    <w:rsid w:val="000133E2"/>
    <w:rsid w:val="0001509C"/>
    <w:rsid w:val="000151D1"/>
    <w:rsid w:val="00022D6D"/>
    <w:rsid w:val="00040BE4"/>
    <w:rsid w:val="000433A0"/>
    <w:rsid w:val="00055A76"/>
    <w:rsid w:val="000643FF"/>
    <w:rsid w:val="0007230E"/>
    <w:rsid w:val="00083736"/>
    <w:rsid w:val="000920E8"/>
    <w:rsid w:val="000979FB"/>
    <w:rsid w:val="000B306F"/>
    <w:rsid w:val="000B5838"/>
    <w:rsid w:val="000C53F9"/>
    <w:rsid w:val="000C6333"/>
    <w:rsid w:val="000C731F"/>
    <w:rsid w:val="000E00C8"/>
    <w:rsid w:val="000E196F"/>
    <w:rsid w:val="000E1B36"/>
    <w:rsid w:val="000F0A6F"/>
    <w:rsid w:val="000F5513"/>
    <w:rsid w:val="0010231B"/>
    <w:rsid w:val="00105BD9"/>
    <w:rsid w:val="00107710"/>
    <w:rsid w:val="001101B0"/>
    <w:rsid w:val="00121458"/>
    <w:rsid w:val="0012248B"/>
    <w:rsid w:val="00123CF1"/>
    <w:rsid w:val="00135A29"/>
    <w:rsid w:val="00136718"/>
    <w:rsid w:val="00140D3E"/>
    <w:rsid w:val="00142706"/>
    <w:rsid w:val="0015227A"/>
    <w:rsid w:val="00153BA7"/>
    <w:rsid w:val="00160B10"/>
    <w:rsid w:val="00165C4D"/>
    <w:rsid w:val="0018407E"/>
    <w:rsid w:val="00192206"/>
    <w:rsid w:val="001A440E"/>
    <w:rsid w:val="001D0AC5"/>
    <w:rsid w:val="001D1A6A"/>
    <w:rsid w:val="001D550A"/>
    <w:rsid w:val="001F41DF"/>
    <w:rsid w:val="001F5E28"/>
    <w:rsid w:val="002025D8"/>
    <w:rsid w:val="002242A7"/>
    <w:rsid w:val="002259E6"/>
    <w:rsid w:val="00245158"/>
    <w:rsid w:val="00247E0C"/>
    <w:rsid w:val="00254E6B"/>
    <w:rsid w:val="002579BD"/>
    <w:rsid w:val="00257DD0"/>
    <w:rsid w:val="00261413"/>
    <w:rsid w:val="00267058"/>
    <w:rsid w:val="00270FAA"/>
    <w:rsid w:val="002876C7"/>
    <w:rsid w:val="00290090"/>
    <w:rsid w:val="002922AD"/>
    <w:rsid w:val="00294909"/>
    <w:rsid w:val="00295684"/>
    <w:rsid w:val="002A4A35"/>
    <w:rsid w:val="002B255D"/>
    <w:rsid w:val="002E29EA"/>
    <w:rsid w:val="002F03AF"/>
    <w:rsid w:val="002F083A"/>
    <w:rsid w:val="002F4D13"/>
    <w:rsid w:val="002F5870"/>
    <w:rsid w:val="002F72D1"/>
    <w:rsid w:val="003040DC"/>
    <w:rsid w:val="00305C9E"/>
    <w:rsid w:val="00314B0A"/>
    <w:rsid w:val="003154BC"/>
    <w:rsid w:val="00315524"/>
    <w:rsid w:val="00322BF9"/>
    <w:rsid w:val="003539BA"/>
    <w:rsid w:val="0036344A"/>
    <w:rsid w:val="00387A2C"/>
    <w:rsid w:val="003A5F51"/>
    <w:rsid w:val="003C16CF"/>
    <w:rsid w:val="003E3207"/>
    <w:rsid w:val="003F5C3D"/>
    <w:rsid w:val="0041543B"/>
    <w:rsid w:val="00422D7F"/>
    <w:rsid w:val="00423705"/>
    <w:rsid w:val="00445A74"/>
    <w:rsid w:val="00481275"/>
    <w:rsid w:val="004939B8"/>
    <w:rsid w:val="004B2D48"/>
    <w:rsid w:val="004C2A03"/>
    <w:rsid w:val="004C667B"/>
    <w:rsid w:val="004C7E9A"/>
    <w:rsid w:val="004D38DD"/>
    <w:rsid w:val="004D3E32"/>
    <w:rsid w:val="004F3A5D"/>
    <w:rsid w:val="00503440"/>
    <w:rsid w:val="005054F2"/>
    <w:rsid w:val="00511D41"/>
    <w:rsid w:val="005143D3"/>
    <w:rsid w:val="0051469F"/>
    <w:rsid w:val="00522EF6"/>
    <w:rsid w:val="00541100"/>
    <w:rsid w:val="00542442"/>
    <w:rsid w:val="00560C96"/>
    <w:rsid w:val="00565FCF"/>
    <w:rsid w:val="005676DC"/>
    <w:rsid w:val="0057131E"/>
    <w:rsid w:val="00571BB2"/>
    <w:rsid w:val="00580382"/>
    <w:rsid w:val="00585780"/>
    <w:rsid w:val="00586EE5"/>
    <w:rsid w:val="00597503"/>
    <w:rsid w:val="005B058E"/>
    <w:rsid w:val="005B3DEC"/>
    <w:rsid w:val="005C5912"/>
    <w:rsid w:val="005C631C"/>
    <w:rsid w:val="005D216A"/>
    <w:rsid w:val="005D2270"/>
    <w:rsid w:val="005D3873"/>
    <w:rsid w:val="005E3953"/>
    <w:rsid w:val="005F725A"/>
    <w:rsid w:val="005F73B0"/>
    <w:rsid w:val="006249A9"/>
    <w:rsid w:val="0063387B"/>
    <w:rsid w:val="00635018"/>
    <w:rsid w:val="00645A6D"/>
    <w:rsid w:val="00655B2A"/>
    <w:rsid w:val="0067283F"/>
    <w:rsid w:val="00683950"/>
    <w:rsid w:val="00695ED1"/>
    <w:rsid w:val="006A1213"/>
    <w:rsid w:val="006A149A"/>
    <w:rsid w:val="006A3C1F"/>
    <w:rsid w:val="006B6680"/>
    <w:rsid w:val="006B6A85"/>
    <w:rsid w:val="006C53BF"/>
    <w:rsid w:val="006C73FF"/>
    <w:rsid w:val="006C7648"/>
    <w:rsid w:val="006E2102"/>
    <w:rsid w:val="006F67F1"/>
    <w:rsid w:val="007126B6"/>
    <w:rsid w:val="0072367E"/>
    <w:rsid w:val="00750F92"/>
    <w:rsid w:val="00751350"/>
    <w:rsid w:val="007568F0"/>
    <w:rsid w:val="007612F6"/>
    <w:rsid w:val="0076497C"/>
    <w:rsid w:val="00774229"/>
    <w:rsid w:val="00775442"/>
    <w:rsid w:val="00776BCF"/>
    <w:rsid w:val="00781AC2"/>
    <w:rsid w:val="00797A0D"/>
    <w:rsid w:val="007A28DB"/>
    <w:rsid w:val="007A6ED7"/>
    <w:rsid w:val="007B52DC"/>
    <w:rsid w:val="007C2C60"/>
    <w:rsid w:val="007D1493"/>
    <w:rsid w:val="007E6A08"/>
    <w:rsid w:val="007F14BC"/>
    <w:rsid w:val="007F692C"/>
    <w:rsid w:val="00801642"/>
    <w:rsid w:val="00810398"/>
    <w:rsid w:val="008129F9"/>
    <w:rsid w:val="00820561"/>
    <w:rsid w:val="008210B6"/>
    <w:rsid w:val="00840EEA"/>
    <w:rsid w:val="0084558B"/>
    <w:rsid w:val="00856E78"/>
    <w:rsid w:val="00862E80"/>
    <w:rsid w:val="008750EA"/>
    <w:rsid w:val="00893F13"/>
    <w:rsid w:val="0089419C"/>
    <w:rsid w:val="008A0B78"/>
    <w:rsid w:val="008B043A"/>
    <w:rsid w:val="008C56E5"/>
    <w:rsid w:val="008F1E55"/>
    <w:rsid w:val="00900E73"/>
    <w:rsid w:val="0090280E"/>
    <w:rsid w:val="009164F1"/>
    <w:rsid w:val="0092226F"/>
    <w:rsid w:val="00923E87"/>
    <w:rsid w:val="00933651"/>
    <w:rsid w:val="009467F1"/>
    <w:rsid w:val="00950E1F"/>
    <w:rsid w:val="00952884"/>
    <w:rsid w:val="00957C86"/>
    <w:rsid w:val="00962B69"/>
    <w:rsid w:val="009701E3"/>
    <w:rsid w:val="0097054C"/>
    <w:rsid w:val="009819FA"/>
    <w:rsid w:val="009859F3"/>
    <w:rsid w:val="009908A6"/>
    <w:rsid w:val="0099186D"/>
    <w:rsid w:val="009919C5"/>
    <w:rsid w:val="009957FF"/>
    <w:rsid w:val="00996757"/>
    <w:rsid w:val="009A4728"/>
    <w:rsid w:val="009B1485"/>
    <w:rsid w:val="009B4969"/>
    <w:rsid w:val="009D374D"/>
    <w:rsid w:val="009D3CBE"/>
    <w:rsid w:val="009F0722"/>
    <w:rsid w:val="009F39C6"/>
    <w:rsid w:val="00A01FCE"/>
    <w:rsid w:val="00A04AE6"/>
    <w:rsid w:val="00A12EC8"/>
    <w:rsid w:val="00A12F34"/>
    <w:rsid w:val="00A16067"/>
    <w:rsid w:val="00A24384"/>
    <w:rsid w:val="00A61E57"/>
    <w:rsid w:val="00A6615D"/>
    <w:rsid w:val="00AA4EBF"/>
    <w:rsid w:val="00AA4EE2"/>
    <w:rsid w:val="00AB4C1C"/>
    <w:rsid w:val="00AB6740"/>
    <w:rsid w:val="00AC4254"/>
    <w:rsid w:val="00AC7C90"/>
    <w:rsid w:val="00AD3DA9"/>
    <w:rsid w:val="00AD6F4C"/>
    <w:rsid w:val="00AE1C8C"/>
    <w:rsid w:val="00AE3692"/>
    <w:rsid w:val="00AE544D"/>
    <w:rsid w:val="00AE6489"/>
    <w:rsid w:val="00AF6E83"/>
    <w:rsid w:val="00B2288D"/>
    <w:rsid w:val="00B23A29"/>
    <w:rsid w:val="00B31DF1"/>
    <w:rsid w:val="00B37D2C"/>
    <w:rsid w:val="00B52773"/>
    <w:rsid w:val="00B54468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E56C9"/>
    <w:rsid w:val="00BF2BD1"/>
    <w:rsid w:val="00BF75B1"/>
    <w:rsid w:val="00C01A82"/>
    <w:rsid w:val="00C2679C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C2759"/>
    <w:rsid w:val="00D12D38"/>
    <w:rsid w:val="00D1319C"/>
    <w:rsid w:val="00D133F4"/>
    <w:rsid w:val="00D56F15"/>
    <w:rsid w:val="00D753C3"/>
    <w:rsid w:val="00D93AEF"/>
    <w:rsid w:val="00DA09E1"/>
    <w:rsid w:val="00DA2CDC"/>
    <w:rsid w:val="00DB3353"/>
    <w:rsid w:val="00DC2D4B"/>
    <w:rsid w:val="00DE5D21"/>
    <w:rsid w:val="00E10692"/>
    <w:rsid w:val="00E128AF"/>
    <w:rsid w:val="00E16ED3"/>
    <w:rsid w:val="00E20EE4"/>
    <w:rsid w:val="00E25B5D"/>
    <w:rsid w:val="00E301DC"/>
    <w:rsid w:val="00E46442"/>
    <w:rsid w:val="00E471CA"/>
    <w:rsid w:val="00E47409"/>
    <w:rsid w:val="00E53965"/>
    <w:rsid w:val="00E63A0E"/>
    <w:rsid w:val="00E64466"/>
    <w:rsid w:val="00E742A8"/>
    <w:rsid w:val="00E760CC"/>
    <w:rsid w:val="00E80723"/>
    <w:rsid w:val="00E87987"/>
    <w:rsid w:val="00EA365E"/>
    <w:rsid w:val="00ED488D"/>
    <w:rsid w:val="00EE355D"/>
    <w:rsid w:val="00EE7ED4"/>
    <w:rsid w:val="00EF1F84"/>
    <w:rsid w:val="00EF4788"/>
    <w:rsid w:val="00F06454"/>
    <w:rsid w:val="00F119FC"/>
    <w:rsid w:val="00F25BF9"/>
    <w:rsid w:val="00F26C0C"/>
    <w:rsid w:val="00F27BBF"/>
    <w:rsid w:val="00F40ED4"/>
    <w:rsid w:val="00F41804"/>
    <w:rsid w:val="00F534C4"/>
    <w:rsid w:val="00F63013"/>
    <w:rsid w:val="00F71FD6"/>
    <w:rsid w:val="00F72B9D"/>
    <w:rsid w:val="00F82738"/>
    <w:rsid w:val="00F84F9C"/>
    <w:rsid w:val="00F86586"/>
    <w:rsid w:val="00FB2F08"/>
    <w:rsid w:val="00FD69F5"/>
    <w:rsid w:val="00FD767D"/>
    <w:rsid w:val="00FE489F"/>
    <w:rsid w:val="00FE4A48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62D8"/>
  <w15:docId w15:val="{B3FD9851-1009-4505-B213-3D2F6082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  <w:style w:type="paragraph" w:styleId="ab">
    <w:name w:val="No Spacing"/>
    <w:uiPriority w:val="1"/>
    <w:qFormat/>
    <w:rsid w:val="000979F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DA42-6135-4E3E-9BAC-2FFC525C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22395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bora@ZERDE.DOM</cp:lastModifiedBy>
  <cp:revision>88</cp:revision>
  <cp:lastPrinted>2019-04-18T05:53:00Z</cp:lastPrinted>
  <dcterms:created xsi:type="dcterms:W3CDTF">2018-06-06T08:24:00Z</dcterms:created>
  <dcterms:modified xsi:type="dcterms:W3CDTF">2024-07-12T11:16:00Z</dcterms:modified>
</cp:coreProperties>
</file>